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4E" w:rsidRPr="008A464A" w:rsidRDefault="0096364E" w:rsidP="0096364E">
      <w:pPr>
        <w:pStyle w:val="pr"/>
        <w:rPr>
          <w:sz w:val="20"/>
          <w:szCs w:val="20"/>
        </w:rPr>
      </w:pPr>
      <w:r w:rsidRPr="008A464A">
        <w:rPr>
          <w:sz w:val="20"/>
          <w:szCs w:val="20"/>
        </w:rPr>
        <w:t>Приложение 4</w:t>
      </w:r>
    </w:p>
    <w:p w:rsidR="0096364E" w:rsidRPr="008A464A" w:rsidRDefault="0096364E" w:rsidP="0096364E">
      <w:pPr>
        <w:pStyle w:val="pr"/>
        <w:rPr>
          <w:sz w:val="20"/>
          <w:szCs w:val="20"/>
        </w:rPr>
      </w:pPr>
      <w:r w:rsidRPr="008A464A">
        <w:rPr>
          <w:sz w:val="20"/>
          <w:szCs w:val="20"/>
        </w:rPr>
        <w:t xml:space="preserve">к </w:t>
      </w:r>
      <w:hyperlink w:anchor="sub100" w:history="1">
        <w:r w:rsidRPr="008A464A">
          <w:rPr>
            <w:rStyle w:val="a3"/>
            <w:sz w:val="20"/>
            <w:szCs w:val="20"/>
          </w:rPr>
          <w:t>правилам</w:t>
        </w:r>
      </w:hyperlink>
      <w:r w:rsidRPr="008A464A">
        <w:rPr>
          <w:sz w:val="20"/>
          <w:szCs w:val="20"/>
        </w:rPr>
        <w:t xml:space="preserve"> организации и</w:t>
      </w:r>
    </w:p>
    <w:p w:rsidR="0096364E" w:rsidRPr="008A464A" w:rsidRDefault="0096364E" w:rsidP="0096364E">
      <w:pPr>
        <w:pStyle w:val="pr"/>
        <w:rPr>
          <w:sz w:val="20"/>
          <w:szCs w:val="20"/>
        </w:rPr>
      </w:pPr>
      <w:r w:rsidRPr="008A464A">
        <w:rPr>
          <w:sz w:val="20"/>
          <w:szCs w:val="20"/>
        </w:rPr>
        <w:t xml:space="preserve">проведения закупа </w:t>
      </w:r>
      <w:proofErr w:type="gramStart"/>
      <w:r w:rsidRPr="008A464A">
        <w:rPr>
          <w:sz w:val="20"/>
          <w:szCs w:val="20"/>
        </w:rPr>
        <w:t>лекарственных</w:t>
      </w:r>
      <w:proofErr w:type="gramEnd"/>
    </w:p>
    <w:p w:rsidR="0096364E" w:rsidRPr="008A464A" w:rsidRDefault="0096364E" w:rsidP="0096364E">
      <w:pPr>
        <w:pStyle w:val="pr"/>
        <w:rPr>
          <w:sz w:val="20"/>
          <w:szCs w:val="20"/>
        </w:rPr>
      </w:pPr>
      <w:r w:rsidRPr="008A464A">
        <w:rPr>
          <w:sz w:val="20"/>
          <w:szCs w:val="20"/>
        </w:rPr>
        <w:t>средств, медицинских изделий и</w:t>
      </w:r>
    </w:p>
    <w:p w:rsidR="0096364E" w:rsidRPr="008A464A" w:rsidRDefault="0096364E" w:rsidP="0096364E">
      <w:pPr>
        <w:pStyle w:val="pr"/>
        <w:rPr>
          <w:sz w:val="20"/>
          <w:szCs w:val="20"/>
        </w:rPr>
      </w:pPr>
      <w:r w:rsidRPr="008A464A">
        <w:rPr>
          <w:sz w:val="20"/>
          <w:szCs w:val="20"/>
        </w:rPr>
        <w:t>специализированных лечебных</w:t>
      </w:r>
    </w:p>
    <w:p w:rsidR="0096364E" w:rsidRPr="008A464A" w:rsidRDefault="0096364E" w:rsidP="0096364E">
      <w:pPr>
        <w:pStyle w:val="pr"/>
        <w:rPr>
          <w:sz w:val="20"/>
          <w:szCs w:val="20"/>
        </w:rPr>
      </w:pPr>
      <w:r w:rsidRPr="008A464A">
        <w:rPr>
          <w:sz w:val="20"/>
          <w:szCs w:val="20"/>
        </w:rPr>
        <w:t xml:space="preserve">продуктов в рамках </w:t>
      </w:r>
      <w:proofErr w:type="gramStart"/>
      <w:r w:rsidRPr="008A464A">
        <w:rPr>
          <w:sz w:val="20"/>
          <w:szCs w:val="20"/>
        </w:rPr>
        <w:t>гарантированного</w:t>
      </w:r>
      <w:proofErr w:type="gramEnd"/>
    </w:p>
    <w:p w:rsidR="0096364E" w:rsidRPr="008A464A" w:rsidRDefault="0096364E" w:rsidP="0096364E">
      <w:pPr>
        <w:pStyle w:val="pr"/>
        <w:rPr>
          <w:sz w:val="20"/>
          <w:szCs w:val="20"/>
        </w:rPr>
      </w:pPr>
      <w:r w:rsidRPr="008A464A">
        <w:rPr>
          <w:sz w:val="20"/>
          <w:szCs w:val="20"/>
        </w:rPr>
        <w:t xml:space="preserve">объема </w:t>
      </w:r>
      <w:proofErr w:type="gramStart"/>
      <w:r w:rsidRPr="008A464A">
        <w:rPr>
          <w:sz w:val="20"/>
          <w:szCs w:val="20"/>
        </w:rPr>
        <w:t>бесплатной</w:t>
      </w:r>
      <w:proofErr w:type="gramEnd"/>
      <w:r w:rsidRPr="008A464A">
        <w:rPr>
          <w:sz w:val="20"/>
          <w:szCs w:val="20"/>
        </w:rPr>
        <w:t xml:space="preserve"> медицинской</w:t>
      </w:r>
    </w:p>
    <w:p w:rsidR="0096364E" w:rsidRPr="008A464A" w:rsidRDefault="0096364E" w:rsidP="0096364E">
      <w:pPr>
        <w:pStyle w:val="pr"/>
        <w:rPr>
          <w:sz w:val="20"/>
          <w:szCs w:val="20"/>
        </w:rPr>
      </w:pPr>
      <w:r w:rsidRPr="008A464A">
        <w:rPr>
          <w:sz w:val="20"/>
          <w:szCs w:val="20"/>
        </w:rPr>
        <w:t>помощи, дополнительного объема</w:t>
      </w:r>
    </w:p>
    <w:p w:rsidR="0096364E" w:rsidRPr="008A464A" w:rsidRDefault="0096364E" w:rsidP="0096364E">
      <w:pPr>
        <w:pStyle w:val="pr"/>
        <w:rPr>
          <w:sz w:val="20"/>
          <w:szCs w:val="20"/>
        </w:rPr>
      </w:pPr>
      <w:r w:rsidRPr="008A464A">
        <w:rPr>
          <w:sz w:val="20"/>
          <w:szCs w:val="20"/>
        </w:rPr>
        <w:t>медицинской помощи для лиц,</w:t>
      </w:r>
    </w:p>
    <w:p w:rsidR="0096364E" w:rsidRPr="008A464A" w:rsidRDefault="0096364E" w:rsidP="0096364E">
      <w:pPr>
        <w:pStyle w:val="pr"/>
        <w:rPr>
          <w:sz w:val="20"/>
          <w:szCs w:val="20"/>
        </w:rPr>
      </w:pPr>
      <w:r w:rsidRPr="008A464A">
        <w:rPr>
          <w:sz w:val="20"/>
          <w:szCs w:val="20"/>
        </w:rPr>
        <w:t>содержащихся в следственных</w:t>
      </w:r>
    </w:p>
    <w:p w:rsidR="0096364E" w:rsidRPr="008A464A" w:rsidRDefault="0096364E" w:rsidP="0096364E">
      <w:pPr>
        <w:pStyle w:val="pr"/>
        <w:rPr>
          <w:sz w:val="20"/>
          <w:szCs w:val="20"/>
        </w:rPr>
      </w:pPr>
      <w:proofErr w:type="gramStart"/>
      <w:r w:rsidRPr="008A464A">
        <w:rPr>
          <w:sz w:val="20"/>
          <w:szCs w:val="20"/>
        </w:rPr>
        <w:t>изоляторах</w:t>
      </w:r>
      <w:proofErr w:type="gramEnd"/>
      <w:r w:rsidRPr="008A464A">
        <w:rPr>
          <w:sz w:val="20"/>
          <w:szCs w:val="20"/>
        </w:rPr>
        <w:t xml:space="preserve"> и учреждениях уголовно-</w:t>
      </w:r>
    </w:p>
    <w:p w:rsidR="0096364E" w:rsidRPr="008A464A" w:rsidRDefault="0096364E" w:rsidP="0096364E">
      <w:pPr>
        <w:pStyle w:val="pr"/>
        <w:rPr>
          <w:sz w:val="20"/>
          <w:szCs w:val="20"/>
        </w:rPr>
      </w:pPr>
      <w:r w:rsidRPr="008A464A">
        <w:rPr>
          <w:sz w:val="20"/>
          <w:szCs w:val="20"/>
        </w:rPr>
        <w:t>исполнительной (пенитенциарной)</w:t>
      </w:r>
    </w:p>
    <w:p w:rsidR="0096364E" w:rsidRPr="008A464A" w:rsidRDefault="0096364E" w:rsidP="0096364E">
      <w:pPr>
        <w:pStyle w:val="pr"/>
        <w:rPr>
          <w:sz w:val="20"/>
          <w:szCs w:val="20"/>
        </w:rPr>
      </w:pPr>
      <w:r w:rsidRPr="008A464A">
        <w:rPr>
          <w:sz w:val="20"/>
          <w:szCs w:val="20"/>
        </w:rPr>
        <w:t>системы, за счет бюджетных средств</w:t>
      </w:r>
    </w:p>
    <w:p w:rsidR="0096364E" w:rsidRPr="008A464A" w:rsidRDefault="0096364E" w:rsidP="0096364E">
      <w:pPr>
        <w:pStyle w:val="pr"/>
        <w:rPr>
          <w:sz w:val="20"/>
          <w:szCs w:val="20"/>
        </w:rPr>
      </w:pPr>
      <w:r w:rsidRPr="008A464A">
        <w:rPr>
          <w:sz w:val="20"/>
          <w:szCs w:val="20"/>
        </w:rPr>
        <w:t xml:space="preserve">и (или) в системе </w:t>
      </w:r>
      <w:proofErr w:type="gramStart"/>
      <w:r w:rsidRPr="008A464A">
        <w:rPr>
          <w:sz w:val="20"/>
          <w:szCs w:val="20"/>
        </w:rPr>
        <w:t>обязательного</w:t>
      </w:r>
      <w:proofErr w:type="gramEnd"/>
    </w:p>
    <w:p w:rsidR="0096364E" w:rsidRPr="008A464A" w:rsidRDefault="0096364E" w:rsidP="0096364E">
      <w:pPr>
        <w:pStyle w:val="pr"/>
        <w:rPr>
          <w:sz w:val="20"/>
          <w:szCs w:val="20"/>
        </w:rPr>
      </w:pPr>
      <w:r w:rsidRPr="008A464A">
        <w:rPr>
          <w:sz w:val="20"/>
          <w:szCs w:val="20"/>
        </w:rPr>
        <w:t>социального медицинского страхования,</w:t>
      </w:r>
    </w:p>
    <w:p w:rsidR="0096364E" w:rsidRPr="008A464A" w:rsidRDefault="0096364E" w:rsidP="0096364E">
      <w:pPr>
        <w:pStyle w:val="pr"/>
        <w:rPr>
          <w:sz w:val="20"/>
          <w:szCs w:val="20"/>
        </w:rPr>
      </w:pPr>
      <w:r w:rsidRPr="008A464A">
        <w:rPr>
          <w:sz w:val="20"/>
          <w:szCs w:val="20"/>
        </w:rPr>
        <w:t>фармацевтических услуг</w:t>
      </w:r>
    </w:p>
    <w:p w:rsidR="0096364E" w:rsidRPr="008A464A" w:rsidRDefault="0096364E" w:rsidP="0096364E">
      <w:pPr>
        <w:pStyle w:val="pr"/>
        <w:rPr>
          <w:sz w:val="20"/>
          <w:szCs w:val="20"/>
        </w:rPr>
      </w:pPr>
      <w:r w:rsidRPr="008A464A">
        <w:rPr>
          <w:sz w:val="20"/>
          <w:szCs w:val="20"/>
        </w:rPr>
        <w:t> </w:t>
      </w:r>
    </w:p>
    <w:p w:rsidR="0096364E" w:rsidRPr="008A464A" w:rsidRDefault="0096364E" w:rsidP="0096364E">
      <w:pPr>
        <w:pStyle w:val="pc"/>
        <w:rPr>
          <w:sz w:val="20"/>
          <w:szCs w:val="20"/>
          <w:lang w:val="kk-KZ"/>
        </w:rPr>
      </w:pPr>
      <w:r w:rsidRPr="008A464A">
        <w:rPr>
          <w:rStyle w:val="s1"/>
          <w:sz w:val="20"/>
          <w:szCs w:val="20"/>
        </w:rPr>
        <w:t> Объявление о проведении закупа способом запроса ценовых предложений</w:t>
      </w:r>
      <w:r w:rsidR="00214161">
        <w:rPr>
          <w:rStyle w:val="s1"/>
          <w:sz w:val="20"/>
          <w:szCs w:val="20"/>
          <w:lang w:val="kk-KZ"/>
        </w:rPr>
        <w:t xml:space="preserve">  </w:t>
      </w:r>
      <w:r w:rsidR="00E6489D">
        <w:rPr>
          <w:rStyle w:val="s1"/>
          <w:sz w:val="20"/>
          <w:szCs w:val="20"/>
          <w:lang w:val="kk-KZ"/>
        </w:rPr>
        <w:t>04.09</w:t>
      </w:r>
      <w:r w:rsidR="00076F6A" w:rsidRPr="008A464A">
        <w:rPr>
          <w:rStyle w:val="s1"/>
          <w:sz w:val="20"/>
          <w:szCs w:val="20"/>
          <w:lang w:val="kk-KZ"/>
        </w:rPr>
        <w:t>.2023</w:t>
      </w:r>
    </w:p>
    <w:p w:rsidR="0096364E" w:rsidRPr="008A464A" w:rsidRDefault="0096364E" w:rsidP="0096364E">
      <w:pPr>
        <w:pStyle w:val="pc"/>
        <w:rPr>
          <w:sz w:val="20"/>
          <w:szCs w:val="20"/>
        </w:rPr>
      </w:pPr>
      <w:r w:rsidRPr="008A464A">
        <w:rPr>
          <w:rStyle w:val="s1"/>
          <w:sz w:val="20"/>
          <w:szCs w:val="20"/>
        </w:rPr>
        <w:t> </w:t>
      </w:r>
    </w:p>
    <w:p w:rsidR="0096364E" w:rsidRPr="008A464A" w:rsidRDefault="0096364E" w:rsidP="0096364E">
      <w:pPr>
        <w:pStyle w:val="pj"/>
        <w:rPr>
          <w:sz w:val="20"/>
          <w:szCs w:val="20"/>
        </w:rPr>
      </w:pPr>
      <w:r w:rsidRPr="008A464A">
        <w:rPr>
          <w:sz w:val="20"/>
          <w:szCs w:val="20"/>
        </w:rPr>
        <w:t>Заказчик и организатор закупа – ГКП на ПХВ «</w:t>
      </w:r>
      <w:proofErr w:type="spellStart"/>
      <w:r w:rsidRPr="008A464A">
        <w:rPr>
          <w:sz w:val="20"/>
          <w:szCs w:val="20"/>
        </w:rPr>
        <w:t>Текелийская</w:t>
      </w:r>
      <w:proofErr w:type="spellEnd"/>
      <w:r w:rsidRPr="008A464A">
        <w:rPr>
          <w:sz w:val="20"/>
          <w:szCs w:val="20"/>
        </w:rPr>
        <w:t xml:space="preserve"> городская больница» ГУ «Управление здравоохранения области</w:t>
      </w:r>
      <w:r w:rsidR="00F247D9">
        <w:rPr>
          <w:sz w:val="20"/>
          <w:szCs w:val="20"/>
        </w:rPr>
        <w:t xml:space="preserve"> </w:t>
      </w:r>
      <w:proofErr w:type="spellStart"/>
      <w:r w:rsidR="00F247D9">
        <w:rPr>
          <w:sz w:val="20"/>
          <w:szCs w:val="20"/>
        </w:rPr>
        <w:t>Жет</w:t>
      </w:r>
      <w:proofErr w:type="spellEnd"/>
      <w:r w:rsidR="00F247D9">
        <w:rPr>
          <w:sz w:val="20"/>
          <w:szCs w:val="20"/>
          <w:lang w:val="kk-KZ"/>
        </w:rPr>
        <w:t>ісу</w:t>
      </w:r>
      <w:r w:rsidRPr="008A464A">
        <w:rPr>
          <w:sz w:val="20"/>
          <w:szCs w:val="20"/>
        </w:rPr>
        <w:t>», Республика Казахстан, область</w:t>
      </w:r>
      <w:r w:rsidR="00F247D9">
        <w:rPr>
          <w:sz w:val="20"/>
          <w:szCs w:val="20"/>
          <w:lang w:val="kk-KZ"/>
        </w:rPr>
        <w:t xml:space="preserve"> Жетісу</w:t>
      </w:r>
      <w:r w:rsidRPr="008A464A">
        <w:rPr>
          <w:sz w:val="20"/>
          <w:szCs w:val="20"/>
        </w:rPr>
        <w:t xml:space="preserve">, г. Текели ул. </w:t>
      </w:r>
      <w:proofErr w:type="spellStart"/>
      <w:r w:rsidRPr="008A464A">
        <w:rPr>
          <w:sz w:val="20"/>
          <w:szCs w:val="20"/>
        </w:rPr>
        <w:t>Тауелсыздык</w:t>
      </w:r>
      <w:proofErr w:type="spellEnd"/>
      <w:r w:rsidRPr="008A464A">
        <w:rPr>
          <w:sz w:val="20"/>
          <w:szCs w:val="20"/>
        </w:rPr>
        <w:t xml:space="preserve"> 25</w:t>
      </w:r>
    </w:p>
    <w:p w:rsidR="0096364E" w:rsidRPr="008A464A" w:rsidRDefault="0096364E" w:rsidP="0096364E">
      <w:pPr>
        <w:pStyle w:val="pj"/>
        <w:rPr>
          <w:sz w:val="20"/>
          <w:szCs w:val="20"/>
        </w:rPr>
      </w:pPr>
    </w:p>
    <w:tbl>
      <w:tblPr>
        <w:tblStyle w:val="a4"/>
        <w:tblW w:w="11057" w:type="dxa"/>
        <w:tblInd w:w="-1168" w:type="dxa"/>
        <w:tblLayout w:type="fixed"/>
        <w:tblLook w:val="04A0"/>
      </w:tblPr>
      <w:tblGrid>
        <w:gridCol w:w="425"/>
        <w:gridCol w:w="5529"/>
        <w:gridCol w:w="709"/>
        <w:gridCol w:w="709"/>
        <w:gridCol w:w="1083"/>
        <w:gridCol w:w="1169"/>
        <w:gridCol w:w="1433"/>
      </w:tblGrid>
      <w:tr w:rsidR="00C05D88" w:rsidRPr="00A47FFE" w:rsidTr="007C2C09">
        <w:tc>
          <w:tcPr>
            <w:tcW w:w="425" w:type="dxa"/>
            <w:shd w:val="clear" w:color="auto" w:fill="auto"/>
          </w:tcPr>
          <w:p w:rsidR="00C05D88" w:rsidRPr="00A47FFE" w:rsidRDefault="00C05D88" w:rsidP="00B67514">
            <w:pPr>
              <w:pStyle w:val="pj"/>
              <w:ind w:firstLine="0"/>
              <w:rPr>
                <w:b/>
                <w:sz w:val="20"/>
                <w:szCs w:val="20"/>
              </w:rPr>
            </w:pPr>
            <w:r w:rsidRPr="00A47FFE">
              <w:rPr>
                <w:b/>
                <w:sz w:val="20"/>
                <w:szCs w:val="20"/>
              </w:rPr>
              <w:t>№ лота</w:t>
            </w:r>
          </w:p>
        </w:tc>
        <w:tc>
          <w:tcPr>
            <w:tcW w:w="5529" w:type="dxa"/>
          </w:tcPr>
          <w:p w:rsidR="00C05D88" w:rsidRPr="00A47FFE" w:rsidRDefault="00C05D88" w:rsidP="00FA6183">
            <w:pPr>
              <w:pStyle w:val="pj"/>
              <w:ind w:firstLine="0"/>
              <w:rPr>
                <w:b/>
                <w:sz w:val="20"/>
                <w:szCs w:val="20"/>
              </w:rPr>
            </w:pPr>
            <w:r w:rsidRPr="00A47FFE">
              <w:rPr>
                <w:b/>
                <w:sz w:val="20"/>
                <w:szCs w:val="20"/>
              </w:rPr>
              <w:t>Наименование (ЛС-МН</w:t>
            </w:r>
            <w:proofErr w:type="gramStart"/>
            <w:r w:rsidRPr="00A47FFE">
              <w:rPr>
                <w:b/>
                <w:sz w:val="20"/>
                <w:szCs w:val="20"/>
              </w:rPr>
              <w:t>Н(</w:t>
            </w:r>
            <w:proofErr w:type="gramEnd"/>
            <w:r w:rsidRPr="00A47FFE">
              <w:rPr>
                <w:b/>
                <w:sz w:val="20"/>
                <w:szCs w:val="20"/>
              </w:rPr>
              <w:t>ТН – при индивидуальной непереносимости), МИ) их краткая характеристика</w:t>
            </w:r>
          </w:p>
        </w:tc>
        <w:tc>
          <w:tcPr>
            <w:tcW w:w="709" w:type="dxa"/>
          </w:tcPr>
          <w:p w:rsidR="00C05D88" w:rsidRPr="00A47FFE" w:rsidRDefault="00C05D88" w:rsidP="00B67514">
            <w:pPr>
              <w:pStyle w:val="pj"/>
              <w:ind w:firstLine="0"/>
              <w:rPr>
                <w:b/>
                <w:sz w:val="20"/>
                <w:szCs w:val="20"/>
              </w:rPr>
            </w:pPr>
            <w:r w:rsidRPr="00A47FFE">
              <w:rPr>
                <w:b/>
                <w:sz w:val="20"/>
                <w:szCs w:val="20"/>
              </w:rPr>
              <w:t xml:space="preserve">Ед. </w:t>
            </w:r>
            <w:proofErr w:type="spellStart"/>
            <w:r w:rsidRPr="00A47FFE">
              <w:rPr>
                <w:b/>
                <w:sz w:val="20"/>
                <w:szCs w:val="20"/>
              </w:rPr>
              <w:t>изм</w:t>
            </w:r>
            <w:proofErr w:type="spellEnd"/>
            <w:r w:rsidRPr="00A47FFE">
              <w:rPr>
                <w:b/>
                <w:sz w:val="20"/>
                <w:szCs w:val="20"/>
              </w:rPr>
              <w:t>.</w:t>
            </w:r>
          </w:p>
        </w:tc>
        <w:tc>
          <w:tcPr>
            <w:tcW w:w="709" w:type="dxa"/>
          </w:tcPr>
          <w:p w:rsidR="00C05D88" w:rsidRPr="00A47FFE" w:rsidRDefault="00C05D88" w:rsidP="0096364E">
            <w:pPr>
              <w:pStyle w:val="pj"/>
              <w:ind w:firstLine="0"/>
              <w:rPr>
                <w:b/>
                <w:sz w:val="20"/>
                <w:szCs w:val="20"/>
              </w:rPr>
            </w:pPr>
            <w:r w:rsidRPr="00A47FFE">
              <w:rPr>
                <w:b/>
                <w:sz w:val="20"/>
                <w:szCs w:val="20"/>
              </w:rPr>
              <w:t>объем закупа</w:t>
            </w:r>
          </w:p>
        </w:tc>
        <w:tc>
          <w:tcPr>
            <w:tcW w:w="1083" w:type="dxa"/>
          </w:tcPr>
          <w:p w:rsidR="00C05D88" w:rsidRPr="00A47FFE" w:rsidRDefault="00C05D88" w:rsidP="0096364E">
            <w:pPr>
              <w:pStyle w:val="pj"/>
              <w:ind w:firstLine="0"/>
              <w:rPr>
                <w:b/>
                <w:sz w:val="20"/>
                <w:szCs w:val="20"/>
              </w:rPr>
            </w:pPr>
            <w:r w:rsidRPr="00A47FFE">
              <w:rPr>
                <w:b/>
                <w:sz w:val="20"/>
                <w:szCs w:val="20"/>
              </w:rPr>
              <w:t>цена</w:t>
            </w:r>
          </w:p>
        </w:tc>
        <w:tc>
          <w:tcPr>
            <w:tcW w:w="1169" w:type="dxa"/>
          </w:tcPr>
          <w:p w:rsidR="00C05D88" w:rsidRPr="00A47FFE" w:rsidRDefault="00C05D88" w:rsidP="00C05D88">
            <w:pPr>
              <w:pStyle w:val="pj"/>
              <w:ind w:firstLine="0"/>
              <w:jc w:val="left"/>
              <w:rPr>
                <w:b/>
                <w:sz w:val="20"/>
                <w:szCs w:val="20"/>
              </w:rPr>
            </w:pPr>
            <w:r w:rsidRPr="00A47FFE">
              <w:rPr>
                <w:b/>
                <w:sz w:val="20"/>
                <w:szCs w:val="20"/>
              </w:rPr>
              <w:t>Сумма</w:t>
            </w:r>
          </w:p>
        </w:tc>
        <w:tc>
          <w:tcPr>
            <w:tcW w:w="1433" w:type="dxa"/>
          </w:tcPr>
          <w:p w:rsidR="00C05D88" w:rsidRPr="00A47FFE" w:rsidRDefault="00C05D88" w:rsidP="00C05D88">
            <w:pPr>
              <w:pStyle w:val="pj"/>
              <w:ind w:firstLine="0"/>
              <w:jc w:val="left"/>
              <w:rPr>
                <w:b/>
                <w:sz w:val="20"/>
                <w:szCs w:val="20"/>
              </w:rPr>
            </w:pPr>
            <w:r w:rsidRPr="00A47FFE">
              <w:rPr>
                <w:b/>
                <w:sz w:val="20"/>
                <w:szCs w:val="20"/>
              </w:rPr>
              <w:t>Место поставки</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7B73AD" w:rsidP="007B73AD">
            <w:pPr>
              <w:rPr>
                <w:rFonts w:ascii="Times New Roman" w:eastAsia="Calibri" w:hAnsi="Times New Roman" w:cs="Times New Roman"/>
                <w:sz w:val="16"/>
                <w:szCs w:val="16"/>
                <w:lang w:val="kk-KZ"/>
              </w:rPr>
            </w:pPr>
            <w:r w:rsidRPr="007C2C09">
              <w:rPr>
                <w:rFonts w:ascii="Times New Roman" w:hAnsi="Times New Roman" w:cs="Times New Roman"/>
                <w:sz w:val="16"/>
                <w:szCs w:val="16"/>
              </w:rPr>
              <w:t xml:space="preserve">Костный цемент средней вязкости с </w:t>
            </w:r>
            <w:proofErr w:type="spellStart"/>
            <w:r w:rsidRPr="007C2C09">
              <w:rPr>
                <w:rFonts w:ascii="Times New Roman" w:hAnsi="Times New Roman" w:cs="Times New Roman"/>
                <w:sz w:val="16"/>
                <w:szCs w:val="16"/>
              </w:rPr>
              <w:t>гентамицином</w:t>
            </w:r>
            <w:proofErr w:type="spellEnd"/>
            <w:r w:rsidRPr="007C2C09">
              <w:rPr>
                <w:rFonts w:ascii="Times New Roman" w:hAnsi="Times New Roman" w:cs="Times New Roman"/>
                <w:sz w:val="16"/>
                <w:szCs w:val="16"/>
              </w:rPr>
              <w:t xml:space="preserve">. Стерильный костный цемент с </w:t>
            </w:r>
            <w:proofErr w:type="spellStart"/>
            <w:r w:rsidRPr="007C2C09">
              <w:rPr>
                <w:rFonts w:ascii="Times New Roman" w:hAnsi="Times New Roman" w:cs="Times New Roman"/>
                <w:sz w:val="16"/>
                <w:szCs w:val="16"/>
              </w:rPr>
              <w:t>Гентамицином</w:t>
            </w:r>
            <w:proofErr w:type="spellEnd"/>
            <w:r w:rsidRPr="007C2C09">
              <w:rPr>
                <w:rFonts w:ascii="Times New Roman" w:hAnsi="Times New Roman" w:cs="Times New Roman"/>
                <w:sz w:val="16"/>
                <w:szCs w:val="16"/>
              </w:rPr>
              <w:t xml:space="preserve"> Порошок Цемент средней вязкости с антибиотиком </w:t>
            </w:r>
            <w:proofErr w:type="spellStart"/>
            <w:r w:rsidRPr="007C2C09">
              <w:rPr>
                <w:rFonts w:ascii="Times New Roman" w:hAnsi="Times New Roman" w:cs="Times New Roman"/>
                <w:sz w:val="16"/>
                <w:szCs w:val="16"/>
              </w:rPr>
              <w:t>Полиметил</w:t>
            </w:r>
            <w:proofErr w:type="spellEnd"/>
            <w:r w:rsidRPr="007C2C09">
              <w:rPr>
                <w:rFonts w:ascii="Times New Roman" w:hAnsi="Times New Roman" w:cs="Times New Roman"/>
                <w:sz w:val="16"/>
                <w:szCs w:val="16"/>
              </w:rPr>
              <w:t xml:space="preserve"> метилметакрилат 65,28% Метилметакрилат / Стирол сополимер 18,65% Перекись </w:t>
            </w:r>
            <w:proofErr w:type="spellStart"/>
            <w:r w:rsidRPr="007C2C09">
              <w:rPr>
                <w:rFonts w:ascii="Times New Roman" w:hAnsi="Times New Roman" w:cs="Times New Roman"/>
                <w:sz w:val="16"/>
                <w:szCs w:val="16"/>
              </w:rPr>
              <w:t>бензоила</w:t>
            </w:r>
            <w:proofErr w:type="spellEnd"/>
            <w:r w:rsidRPr="007C2C09">
              <w:rPr>
                <w:rFonts w:ascii="Times New Roman" w:hAnsi="Times New Roman" w:cs="Times New Roman"/>
                <w:sz w:val="16"/>
                <w:szCs w:val="16"/>
              </w:rPr>
              <w:t xml:space="preserve"> 1,85% Сульфат бария 10,00% Сульфат </w:t>
            </w:r>
            <w:proofErr w:type="spellStart"/>
            <w:r w:rsidRPr="007C2C09">
              <w:rPr>
                <w:rFonts w:ascii="Times New Roman" w:hAnsi="Times New Roman" w:cs="Times New Roman"/>
                <w:sz w:val="16"/>
                <w:szCs w:val="16"/>
              </w:rPr>
              <w:t>гентамицина</w:t>
            </w:r>
            <w:proofErr w:type="spellEnd"/>
            <w:r w:rsidRPr="007C2C09">
              <w:rPr>
                <w:rFonts w:ascii="Times New Roman" w:hAnsi="Times New Roman" w:cs="Times New Roman"/>
                <w:sz w:val="16"/>
                <w:szCs w:val="16"/>
              </w:rPr>
              <w:t xml:space="preserve"> 4,22% Жидкость Метилметакрилат 98,00% N, N – </w:t>
            </w:r>
            <w:proofErr w:type="spellStart"/>
            <w:r w:rsidRPr="007C2C09">
              <w:rPr>
                <w:rFonts w:ascii="Times New Roman" w:hAnsi="Times New Roman" w:cs="Times New Roman"/>
                <w:sz w:val="16"/>
                <w:szCs w:val="16"/>
              </w:rPr>
              <w:t>диметил-р-толуидин</w:t>
            </w:r>
            <w:proofErr w:type="spellEnd"/>
          </w:p>
        </w:tc>
        <w:tc>
          <w:tcPr>
            <w:tcW w:w="709" w:type="dxa"/>
          </w:tcPr>
          <w:p w:rsidR="00A47FFE" w:rsidRPr="007C2C09" w:rsidRDefault="007B73AD" w:rsidP="007C2C09">
            <w:pPr>
              <w:rPr>
                <w:rFonts w:ascii="Times New Roman" w:eastAsia="Calibri" w:hAnsi="Times New Roman" w:cs="Times New Roman"/>
                <w:sz w:val="20"/>
                <w:szCs w:val="20"/>
                <w:lang w:val="kk-KZ"/>
              </w:rPr>
            </w:pPr>
            <w:r w:rsidRPr="007C2C09">
              <w:rPr>
                <w:rFonts w:ascii="Times New Roman" w:eastAsia="Calibri" w:hAnsi="Times New Roman" w:cs="Times New Roman"/>
                <w:sz w:val="20"/>
                <w:szCs w:val="20"/>
                <w:lang w:val="kk-KZ"/>
              </w:rPr>
              <w:t>уп</w:t>
            </w:r>
          </w:p>
        </w:tc>
        <w:tc>
          <w:tcPr>
            <w:tcW w:w="709" w:type="dxa"/>
            <w:vAlign w:val="center"/>
          </w:tcPr>
          <w:p w:rsidR="00A47FFE" w:rsidRPr="007C2C09" w:rsidRDefault="007B73AD" w:rsidP="007C2C09">
            <w:pPr>
              <w:rPr>
                <w:rFonts w:ascii="Times New Roman" w:eastAsia="Calibri" w:hAnsi="Times New Roman" w:cs="Times New Roman"/>
                <w:color w:val="000000"/>
                <w:sz w:val="20"/>
                <w:szCs w:val="20"/>
                <w:lang w:val="kk-KZ"/>
              </w:rPr>
            </w:pPr>
            <w:r w:rsidRPr="007C2C09">
              <w:rPr>
                <w:rFonts w:ascii="Times New Roman" w:eastAsia="Calibri" w:hAnsi="Times New Roman" w:cs="Times New Roman"/>
                <w:color w:val="000000"/>
                <w:sz w:val="20"/>
                <w:szCs w:val="20"/>
                <w:lang w:val="kk-KZ"/>
              </w:rPr>
              <w:t>10</w:t>
            </w:r>
          </w:p>
        </w:tc>
        <w:tc>
          <w:tcPr>
            <w:tcW w:w="1083" w:type="dxa"/>
            <w:vAlign w:val="center"/>
          </w:tcPr>
          <w:p w:rsidR="00A47FFE" w:rsidRPr="007C2C09" w:rsidRDefault="007B73AD" w:rsidP="007C2C09">
            <w:pPr>
              <w:rPr>
                <w:rFonts w:ascii="Times New Roman" w:eastAsia="Calibri" w:hAnsi="Times New Roman" w:cs="Times New Roman"/>
                <w:color w:val="000000"/>
                <w:sz w:val="20"/>
                <w:szCs w:val="20"/>
              </w:rPr>
            </w:pPr>
            <w:r w:rsidRPr="007C2C09">
              <w:rPr>
                <w:rFonts w:ascii="Times New Roman" w:hAnsi="Times New Roman" w:cs="Times New Roman"/>
              </w:rPr>
              <w:t>34 950</w:t>
            </w:r>
          </w:p>
        </w:tc>
        <w:tc>
          <w:tcPr>
            <w:tcW w:w="1169" w:type="dxa"/>
            <w:vAlign w:val="bottom"/>
          </w:tcPr>
          <w:p w:rsidR="00A47FFE" w:rsidRPr="007C2C09" w:rsidRDefault="007C2C09"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349500</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7B73AD" w:rsidP="007B73AD">
            <w:pPr>
              <w:rPr>
                <w:rFonts w:ascii="Times New Roman" w:eastAsia="Calibri" w:hAnsi="Times New Roman" w:cs="Times New Roman"/>
                <w:sz w:val="16"/>
                <w:szCs w:val="16"/>
              </w:rPr>
            </w:pPr>
            <w:r w:rsidRPr="007C2C09">
              <w:rPr>
                <w:rFonts w:ascii="Times New Roman" w:hAnsi="Times New Roman" w:cs="Times New Roman"/>
                <w:sz w:val="16"/>
                <w:szCs w:val="16"/>
              </w:rPr>
              <w:t xml:space="preserve">Ножка (стандартный офсет, без воротника) Ножка </w:t>
            </w:r>
            <w:proofErr w:type="spellStart"/>
            <w:r w:rsidRPr="007C2C09">
              <w:rPr>
                <w:rFonts w:ascii="Times New Roman" w:hAnsi="Times New Roman" w:cs="Times New Roman"/>
                <w:sz w:val="16"/>
                <w:szCs w:val="16"/>
              </w:rPr>
              <w:t>эндопротеза</w:t>
            </w:r>
            <w:proofErr w:type="spellEnd"/>
            <w:r w:rsidRPr="007C2C09">
              <w:rPr>
                <w:rFonts w:ascii="Times New Roman" w:hAnsi="Times New Roman" w:cs="Times New Roman"/>
                <w:sz w:val="16"/>
                <w:szCs w:val="16"/>
              </w:rPr>
              <w:t xml:space="preserve">: </w:t>
            </w:r>
            <w:proofErr w:type="gramStart"/>
            <w:r w:rsidRPr="007C2C09">
              <w:rPr>
                <w:rFonts w:ascii="Times New Roman" w:hAnsi="Times New Roman" w:cs="Times New Roman"/>
                <w:sz w:val="16"/>
                <w:szCs w:val="16"/>
              </w:rPr>
              <w:t xml:space="preserve">Должна быть изготовлена из кованого титана (TAl6 V4), Должна обеспечивать </w:t>
            </w:r>
            <w:proofErr w:type="spellStart"/>
            <w:r w:rsidRPr="007C2C09">
              <w:rPr>
                <w:rFonts w:ascii="Times New Roman" w:hAnsi="Times New Roman" w:cs="Times New Roman"/>
                <w:sz w:val="16"/>
                <w:szCs w:val="16"/>
              </w:rPr>
              <w:t>бесцементную</w:t>
            </w:r>
            <w:proofErr w:type="spellEnd"/>
            <w:r w:rsidRPr="007C2C09">
              <w:rPr>
                <w:rFonts w:ascii="Times New Roman" w:hAnsi="Times New Roman" w:cs="Times New Roman"/>
                <w:sz w:val="16"/>
                <w:szCs w:val="16"/>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7C2C09">
              <w:rPr>
                <w:rFonts w:ascii="Times New Roman" w:hAnsi="Times New Roman" w:cs="Times New Roman"/>
                <w:sz w:val="16"/>
                <w:szCs w:val="16"/>
              </w:rPr>
              <w:t>калькарной</w:t>
            </w:r>
            <w:proofErr w:type="spellEnd"/>
            <w:r w:rsidRPr="007C2C09">
              <w:rPr>
                <w:rFonts w:ascii="Times New Roman" w:hAnsi="Times New Roman" w:cs="Times New Roman"/>
                <w:sz w:val="16"/>
                <w:szCs w:val="16"/>
              </w:rPr>
              <w:t xml:space="preserve"> площадкой и без нее; в проксимальной части должна иметь горизонтальные ребра, </w:t>
            </w:r>
            <w:proofErr w:type="spellStart"/>
            <w:r w:rsidRPr="007C2C09">
              <w:rPr>
                <w:rFonts w:ascii="Times New Roman" w:hAnsi="Times New Roman" w:cs="Times New Roman"/>
                <w:sz w:val="16"/>
                <w:szCs w:val="16"/>
              </w:rPr>
              <w:t>циркулярно</w:t>
            </w:r>
            <w:proofErr w:type="spellEnd"/>
            <w:r w:rsidRPr="007C2C09">
              <w:rPr>
                <w:rFonts w:ascii="Times New Roman" w:hAnsi="Times New Roman" w:cs="Times New Roman"/>
                <w:sz w:val="16"/>
                <w:szCs w:val="16"/>
              </w:rPr>
              <w:t xml:space="preserve"> по всему периметру, количество которых должно увеличиваться с увеличением размера компонента.</w:t>
            </w:r>
            <w:proofErr w:type="gramEnd"/>
            <w:r w:rsidRPr="007C2C09">
              <w:rPr>
                <w:rFonts w:ascii="Times New Roman" w:hAnsi="Times New Roman" w:cs="Times New Roman"/>
                <w:sz w:val="16"/>
                <w:szCs w:val="16"/>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7C2C09">
              <w:rPr>
                <w:rFonts w:ascii="Times New Roman" w:hAnsi="Times New Roman" w:cs="Times New Roman"/>
                <w:sz w:val="16"/>
                <w:szCs w:val="16"/>
              </w:rPr>
              <w:t>эндопротеза</w:t>
            </w:r>
            <w:proofErr w:type="spellEnd"/>
            <w:r w:rsidRPr="007C2C09">
              <w:rPr>
                <w:rFonts w:ascii="Times New Roman" w:hAnsi="Times New Roman" w:cs="Times New Roman"/>
                <w:sz w:val="16"/>
                <w:szCs w:val="16"/>
              </w:rPr>
              <w:t xml:space="preserve">. Прямоугольное сечение должно предотвращать </w:t>
            </w:r>
            <w:proofErr w:type="gramStart"/>
            <w:r w:rsidRPr="007C2C09">
              <w:rPr>
                <w:rFonts w:ascii="Times New Roman" w:hAnsi="Times New Roman" w:cs="Times New Roman"/>
                <w:sz w:val="16"/>
                <w:szCs w:val="16"/>
              </w:rPr>
              <w:t>осевую</w:t>
            </w:r>
            <w:proofErr w:type="gramEnd"/>
            <w:r w:rsidRPr="007C2C09">
              <w:rPr>
                <w:rFonts w:ascii="Times New Roman" w:hAnsi="Times New Roman" w:cs="Times New Roman"/>
                <w:sz w:val="16"/>
                <w:szCs w:val="16"/>
              </w:rPr>
              <w:t xml:space="preserve"> </w:t>
            </w:r>
            <w:proofErr w:type="spellStart"/>
            <w:r w:rsidRPr="007C2C09">
              <w:rPr>
                <w:rFonts w:ascii="Times New Roman" w:hAnsi="Times New Roman" w:cs="Times New Roman"/>
                <w:sz w:val="16"/>
                <w:szCs w:val="16"/>
              </w:rPr>
              <w:t>микроподвижность</w:t>
            </w:r>
            <w:proofErr w:type="spellEnd"/>
            <w:r w:rsidRPr="007C2C09">
              <w:rPr>
                <w:rFonts w:ascii="Times New Roman" w:hAnsi="Times New Roman" w:cs="Times New Roman"/>
                <w:sz w:val="16"/>
                <w:szCs w:val="16"/>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7C2C09">
              <w:rPr>
                <w:rFonts w:ascii="Times New Roman" w:hAnsi="Times New Roman" w:cs="Times New Roman"/>
                <w:sz w:val="16"/>
                <w:szCs w:val="16"/>
              </w:rPr>
              <w:t xml:space="preserve">Ножка должна иметь </w:t>
            </w:r>
            <w:proofErr w:type="spellStart"/>
            <w:r w:rsidRPr="007C2C09">
              <w:rPr>
                <w:rFonts w:ascii="Times New Roman" w:hAnsi="Times New Roman" w:cs="Times New Roman"/>
                <w:sz w:val="16"/>
                <w:szCs w:val="16"/>
              </w:rPr>
              <w:t>гидроксиаппатитовое</w:t>
            </w:r>
            <w:proofErr w:type="spellEnd"/>
            <w:r w:rsidRPr="007C2C09">
              <w:rPr>
                <w:rFonts w:ascii="Times New Roman" w:hAnsi="Times New Roman" w:cs="Times New Roman"/>
                <w:sz w:val="16"/>
                <w:szCs w:val="16"/>
              </w:rPr>
              <w:t xml:space="preserve"> покрытие с контролированной толщиной в 155mm, что создаёт оптимальные условия для интеграции инертного </w:t>
            </w:r>
            <w:proofErr w:type="spellStart"/>
            <w:r w:rsidRPr="007C2C09">
              <w:rPr>
                <w:rFonts w:ascii="Times New Roman" w:hAnsi="Times New Roman" w:cs="Times New Roman"/>
                <w:sz w:val="16"/>
                <w:szCs w:val="16"/>
              </w:rPr>
              <w:t>импланта</w:t>
            </w:r>
            <w:proofErr w:type="spellEnd"/>
            <w:r w:rsidRPr="007C2C09">
              <w:rPr>
                <w:rFonts w:ascii="Times New Roman" w:hAnsi="Times New Roman" w:cs="Times New Roman"/>
                <w:sz w:val="16"/>
                <w:szCs w:val="16"/>
              </w:rPr>
              <w:t xml:space="preserve"> и живой кости.</w:t>
            </w:r>
            <w:proofErr w:type="gramEnd"/>
            <w:r w:rsidRPr="007C2C09">
              <w:rPr>
                <w:rFonts w:ascii="Times New Roman" w:hAnsi="Times New Roman" w:cs="Times New Roman"/>
                <w:sz w:val="16"/>
                <w:szCs w:val="16"/>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Размеры ножки должны быть: 8, 9, 10, 11, 12, 13, 14, 15, 16, 18 Длина ножки должна быть от 130мм. до 190мм. с шагом в 5мм</w:t>
            </w:r>
          </w:p>
        </w:tc>
        <w:tc>
          <w:tcPr>
            <w:tcW w:w="709" w:type="dxa"/>
          </w:tcPr>
          <w:p w:rsidR="00A47FFE" w:rsidRPr="007C2C09" w:rsidRDefault="007B73AD" w:rsidP="007C2C09">
            <w:pPr>
              <w:rPr>
                <w:rFonts w:ascii="Times New Roman" w:eastAsia="Calibri" w:hAnsi="Times New Roman" w:cs="Times New Roman"/>
                <w:sz w:val="20"/>
                <w:szCs w:val="20"/>
              </w:rPr>
            </w:pPr>
            <w:proofErr w:type="spellStart"/>
            <w:r w:rsidRPr="007C2C09">
              <w:rPr>
                <w:rFonts w:ascii="Times New Roman" w:eastAsia="Calibri" w:hAnsi="Times New Roman" w:cs="Times New Roman"/>
                <w:sz w:val="20"/>
                <w:szCs w:val="20"/>
              </w:rPr>
              <w:t>уп</w:t>
            </w:r>
            <w:proofErr w:type="spellEnd"/>
          </w:p>
        </w:tc>
        <w:tc>
          <w:tcPr>
            <w:tcW w:w="709" w:type="dxa"/>
            <w:vAlign w:val="center"/>
          </w:tcPr>
          <w:p w:rsidR="00A47FFE" w:rsidRPr="007C2C09" w:rsidRDefault="007B73AD" w:rsidP="007C2C09">
            <w:pPr>
              <w:rPr>
                <w:rFonts w:ascii="Times New Roman" w:eastAsia="Calibri" w:hAnsi="Times New Roman" w:cs="Times New Roman"/>
                <w:color w:val="000000"/>
                <w:sz w:val="20"/>
                <w:szCs w:val="20"/>
              </w:rPr>
            </w:pPr>
            <w:r w:rsidRPr="007C2C09">
              <w:rPr>
                <w:rFonts w:ascii="Times New Roman" w:hAnsi="Times New Roman" w:cs="Times New Roman"/>
              </w:rPr>
              <w:t>2</w:t>
            </w:r>
          </w:p>
        </w:tc>
        <w:tc>
          <w:tcPr>
            <w:tcW w:w="1083" w:type="dxa"/>
            <w:vAlign w:val="center"/>
          </w:tcPr>
          <w:p w:rsidR="00A47FFE" w:rsidRPr="007C2C09" w:rsidRDefault="007B73AD" w:rsidP="007C2C09">
            <w:pPr>
              <w:rPr>
                <w:rFonts w:ascii="Times New Roman" w:eastAsia="Calibri" w:hAnsi="Times New Roman" w:cs="Times New Roman"/>
                <w:color w:val="000000"/>
                <w:sz w:val="20"/>
                <w:szCs w:val="20"/>
              </w:rPr>
            </w:pPr>
            <w:r w:rsidRPr="007C2C09">
              <w:rPr>
                <w:rFonts w:ascii="Times New Roman" w:hAnsi="Times New Roman" w:cs="Times New Roman"/>
              </w:rPr>
              <w:t>282 425</w:t>
            </w:r>
          </w:p>
        </w:tc>
        <w:tc>
          <w:tcPr>
            <w:tcW w:w="1169" w:type="dxa"/>
            <w:vAlign w:val="bottom"/>
          </w:tcPr>
          <w:p w:rsidR="00A47FFE" w:rsidRPr="007C2C09" w:rsidRDefault="007C2C09"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564850</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7B73AD" w:rsidP="00A70C3B">
            <w:pPr>
              <w:rPr>
                <w:rFonts w:ascii="Times New Roman" w:eastAsia="Calibri" w:hAnsi="Times New Roman" w:cs="Times New Roman"/>
                <w:sz w:val="16"/>
                <w:szCs w:val="16"/>
                <w:lang w:val="kk-KZ"/>
              </w:rPr>
            </w:pPr>
            <w:r w:rsidRPr="007C2C09">
              <w:rPr>
                <w:rFonts w:ascii="Times New Roman" w:hAnsi="Times New Roman" w:cs="Times New Roman"/>
                <w:sz w:val="16"/>
                <w:szCs w:val="16"/>
              </w:rPr>
              <w:t xml:space="preserve">Головка металлическая </w:t>
            </w:r>
            <w:r w:rsidRPr="007C2C09">
              <w:rPr>
                <w:rFonts w:ascii="Times New Roman" w:hAnsi="Times New Roman" w:cs="Times New Roman"/>
                <w:sz w:val="16"/>
                <w:szCs w:val="16"/>
              </w:rPr>
              <w:br/>
              <w:t xml:space="preserve">Головка: Должна быть изготовлена из кобальт </w:t>
            </w:r>
            <w:proofErr w:type="gramStart"/>
            <w:r w:rsidRPr="007C2C09">
              <w:rPr>
                <w:rFonts w:ascii="Times New Roman" w:hAnsi="Times New Roman" w:cs="Times New Roman"/>
                <w:sz w:val="16"/>
                <w:szCs w:val="16"/>
              </w:rPr>
              <w:t>-х</w:t>
            </w:r>
            <w:proofErr w:type="gramEnd"/>
            <w:r w:rsidRPr="007C2C09">
              <w:rPr>
                <w:rFonts w:ascii="Times New Roman" w:hAnsi="Times New Roman" w:cs="Times New Roman"/>
                <w:sz w:val="16"/>
                <w:szCs w:val="16"/>
              </w:rPr>
              <w:t>ромового сплава, конус 12/14, диаметром 28 мм., Размерами (+1,5; +5,0; +8,5; +12,0мм)</w:t>
            </w:r>
          </w:p>
        </w:tc>
        <w:tc>
          <w:tcPr>
            <w:tcW w:w="709" w:type="dxa"/>
          </w:tcPr>
          <w:p w:rsidR="00A47FFE" w:rsidRPr="007C2C09" w:rsidRDefault="007B73AD" w:rsidP="007C2C09">
            <w:pPr>
              <w:rPr>
                <w:rFonts w:ascii="Times New Roman" w:eastAsia="Calibri" w:hAnsi="Times New Roman" w:cs="Times New Roman"/>
                <w:sz w:val="20"/>
                <w:szCs w:val="20"/>
                <w:lang w:val="kk-KZ"/>
              </w:rPr>
            </w:pPr>
            <w:r w:rsidRPr="007C2C09">
              <w:rPr>
                <w:rFonts w:ascii="Times New Roman" w:eastAsia="Calibri" w:hAnsi="Times New Roman" w:cs="Times New Roman"/>
                <w:sz w:val="20"/>
                <w:szCs w:val="20"/>
                <w:lang w:val="kk-KZ"/>
              </w:rPr>
              <w:t>уп</w:t>
            </w:r>
          </w:p>
        </w:tc>
        <w:tc>
          <w:tcPr>
            <w:tcW w:w="709" w:type="dxa"/>
            <w:vAlign w:val="center"/>
          </w:tcPr>
          <w:p w:rsidR="00A47FFE" w:rsidRPr="007C2C09" w:rsidRDefault="007B73AD" w:rsidP="007C2C09">
            <w:pPr>
              <w:rPr>
                <w:rFonts w:ascii="Times New Roman" w:eastAsia="Calibri" w:hAnsi="Times New Roman" w:cs="Times New Roman"/>
                <w:color w:val="000000"/>
                <w:sz w:val="20"/>
                <w:szCs w:val="20"/>
                <w:lang w:val="kk-KZ"/>
              </w:rPr>
            </w:pPr>
            <w:r w:rsidRPr="007C2C09">
              <w:rPr>
                <w:rFonts w:ascii="Times New Roman" w:eastAsia="Calibri" w:hAnsi="Times New Roman" w:cs="Times New Roman"/>
                <w:color w:val="000000"/>
                <w:sz w:val="20"/>
                <w:szCs w:val="20"/>
                <w:lang w:val="kk-KZ"/>
              </w:rPr>
              <w:t>2</w:t>
            </w:r>
          </w:p>
        </w:tc>
        <w:tc>
          <w:tcPr>
            <w:tcW w:w="1083" w:type="dxa"/>
            <w:vAlign w:val="center"/>
          </w:tcPr>
          <w:p w:rsidR="00A47FFE" w:rsidRPr="007C2C09" w:rsidRDefault="007B73AD" w:rsidP="007C2C09">
            <w:pPr>
              <w:rPr>
                <w:rFonts w:ascii="Times New Roman" w:eastAsia="Calibri" w:hAnsi="Times New Roman" w:cs="Times New Roman"/>
                <w:color w:val="000000"/>
                <w:sz w:val="20"/>
                <w:szCs w:val="20"/>
              </w:rPr>
            </w:pPr>
            <w:r w:rsidRPr="007C2C09">
              <w:rPr>
                <w:rFonts w:ascii="Times New Roman" w:hAnsi="Times New Roman" w:cs="Times New Roman"/>
              </w:rPr>
              <w:t>85 635</w:t>
            </w:r>
          </w:p>
        </w:tc>
        <w:tc>
          <w:tcPr>
            <w:tcW w:w="1169" w:type="dxa"/>
            <w:vAlign w:val="bottom"/>
          </w:tcPr>
          <w:p w:rsidR="00A47FFE" w:rsidRPr="007C2C09" w:rsidRDefault="007C2C09"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171270</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tcPr>
          <w:p w:rsidR="00A47FFE" w:rsidRPr="007C2C09" w:rsidRDefault="00D141F0" w:rsidP="00A70C3B">
            <w:pPr>
              <w:rPr>
                <w:rFonts w:ascii="Times New Roman" w:eastAsia="Calibri" w:hAnsi="Times New Roman" w:cs="Times New Roman"/>
                <w:sz w:val="16"/>
                <w:szCs w:val="16"/>
              </w:rPr>
            </w:pPr>
            <w:proofErr w:type="spellStart"/>
            <w:r w:rsidRPr="007C2C09">
              <w:rPr>
                <w:rFonts w:ascii="Times New Roman" w:hAnsi="Times New Roman" w:cs="Times New Roman"/>
                <w:sz w:val="16"/>
                <w:szCs w:val="16"/>
              </w:rPr>
              <w:t>Ацетабулярная</w:t>
            </w:r>
            <w:proofErr w:type="spellEnd"/>
            <w:r w:rsidRPr="007C2C09">
              <w:rPr>
                <w:rFonts w:ascii="Times New Roman" w:hAnsi="Times New Roman" w:cs="Times New Roman"/>
                <w:sz w:val="16"/>
                <w:szCs w:val="16"/>
              </w:rPr>
              <w:t xml:space="preserve"> чашка  </w:t>
            </w:r>
            <w:proofErr w:type="spellStart"/>
            <w:r w:rsidRPr="007C2C09">
              <w:rPr>
                <w:rFonts w:ascii="Times New Roman" w:hAnsi="Times New Roman" w:cs="Times New Roman"/>
                <w:sz w:val="16"/>
                <w:szCs w:val="16"/>
              </w:rPr>
              <w:t>Ацетабулярный</w:t>
            </w:r>
            <w:proofErr w:type="spellEnd"/>
            <w:r w:rsidRPr="007C2C09">
              <w:rPr>
                <w:rFonts w:ascii="Times New Roman" w:hAnsi="Times New Roman" w:cs="Times New Roman"/>
                <w:sz w:val="16"/>
                <w:szCs w:val="16"/>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7C2C09">
              <w:rPr>
                <w:rFonts w:ascii="Times New Roman" w:hAnsi="Times New Roman" w:cs="Times New Roman"/>
                <w:sz w:val="16"/>
                <w:szCs w:val="16"/>
              </w:rPr>
              <w:t>антиротационные</w:t>
            </w:r>
            <w:proofErr w:type="spellEnd"/>
            <w:r w:rsidRPr="007C2C09">
              <w:rPr>
                <w:rFonts w:ascii="Times New Roman" w:hAnsi="Times New Roman" w:cs="Times New Roman"/>
                <w:sz w:val="16"/>
                <w:szCs w:val="16"/>
              </w:rPr>
              <w:t xml:space="preserve"> винты. Должен обеспечивать </w:t>
            </w:r>
            <w:proofErr w:type="spellStart"/>
            <w:r w:rsidRPr="007C2C09">
              <w:rPr>
                <w:rFonts w:ascii="Times New Roman" w:hAnsi="Times New Roman" w:cs="Times New Roman"/>
                <w:sz w:val="16"/>
                <w:szCs w:val="16"/>
              </w:rPr>
              <w:t>бесцементную</w:t>
            </w:r>
            <w:proofErr w:type="spellEnd"/>
            <w:r w:rsidRPr="007C2C09">
              <w:rPr>
                <w:rFonts w:ascii="Times New Roman" w:hAnsi="Times New Roman" w:cs="Times New Roman"/>
                <w:sz w:val="16"/>
                <w:szCs w:val="16"/>
              </w:rPr>
              <w:t xml:space="preserve"> фиксацию типа пресс </w:t>
            </w:r>
            <w:proofErr w:type="gramStart"/>
            <w:r w:rsidRPr="007C2C09">
              <w:rPr>
                <w:rFonts w:ascii="Times New Roman" w:hAnsi="Times New Roman" w:cs="Times New Roman"/>
                <w:sz w:val="16"/>
                <w:szCs w:val="16"/>
              </w:rPr>
              <w:t>-</w:t>
            </w:r>
            <w:proofErr w:type="spellStart"/>
            <w:r w:rsidRPr="007C2C09">
              <w:rPr>
                <w:rFonts w:ascii="Times New Roman" w:hAnsi="Times New Roman" w:cs="Times New Roman"/>
                <w:sz w:val="16"/>
                <w:szCs w:val="16"/>
              </w:rPr>
              <w:t>ф</w:t>
            </w:r>
            <w:proofErr w:type="gramEnd"/>
            <w:r w:rsidRPr="007C2C09">
              <w:rPr>
                <w:rFonts w:ascii="Times New Roman" w:hAnsi="Times New Roman" w:cs="Times New Roman"/>
                <w:sz w:val="16"/>
                <w:szCs w:val="16"/>
              </w:rPr>
              <w:t>ит</w:t>
            </w:r>
            <w:proofErr w:type="spellEnd"/>
            <w:r w:rsidRPr="007C2C09">
              <w:rPr>
                <w:rFonts w:ascii="Times New Roman" w:hAnsi="Times New Roman" w:cs="Times New Roman"/>
                <w:sz w:val="16"/>
                <w:szCs w:val="16"/>
              </w:rPr>
              <w:t xml:space="preserve">, должен быть изготовлен из титанового сплава. Чашка должна иметь 12 </w:t>
            </w:r>
            <w:proofErr w:type="spellStart"/>
            <w:r w:rsidRPr="007C2C09">
              <w:rPr>
                <w:rFonts w:ascii="Times New Roman" w:hAnsi="Times New Roman" w:cs="Times New Roman"/>
                <w:sz w:val="16"/>
                <w:szCs w:val="16"/>
              </w:rPr>
              <w:t>антиротационных</w:t>
            </w:r>
            <w:proofErr w:type="spellEnd"/>
            <w:r w:rsidRPr="007C2C09">
              <w:rPr>
                <w:rFonts w:ascii="Times New Roman" w:hAnsi="Times New Roman" w:cs="Times New Roman"/>
                <w:sz w:val="16"/>
                <w:szCs w:val="16"/>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7C2C09">
              <w:rPr>
                <w:rFonts w:ascii="Times New Roman" w:hAnsi="Times New Roman" w:cs="Times New Roman"/>
                <w:sz w:val="16"/>
                <w:szCs w:val="16"/>
              </w:rPr>
              <w:t>спечения</w:t>
            </w:r>
            <w:proofErr w:type="spellEnd"/>
            <w:r w:rsidRPr="007C2C09">
              <w:rPr>
                <w:rFonts w:ascii="Times New Roman" w:hAnsi="Times New Roman" w:cs="Times New Roman"/>
                <w:sz w:val="16"/>
                <w:szCs w:val="16"/>
              </w:rPr>
              <w:t xml:space="preserve"> металлических зерен, размеры пор между ними должно составлять около 250 микрон, что соответствует размерам </w:t>
            </w:r>
            <w:proofErr w:type="spellStart"/>
            <w:r w:rsidRPr="007C2C09">
              <w:rPr>
                <w:rFonts w:ascii="Times New Roman" w:hAnsi="Times New Roman" w:cs="Times New Roman"/>
                <w:sz w:val="16"/>
                <w:szCs w:val="16"/>
              </w:rPr>
              <w:t>васкуляризованных</w:t>
            </w:r>
            <w:proofErr w:type="spellEnd"/>
            <w:r w:rsidRPr="007C2C09">
              <w:rPr>
                <w:rFonts w:ascii="Times New Roman" w:hAnsi="Times New Roman" w:cs="Times New Roman"/>
                <w:sz w:val="16"/>
                <w:szCs w:val="16"/>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Количество типоразмеров чашек должно быть равно десяти (48 - 66 мм, с величиной шага 2 мм).</w:t>
            </w:r>
          </w:p>
        </w:tc>
        <w:tc>
          <w:tcPr>
            <w:tcW w:w="709" w:type="dxa"/>
          </w:tcPr>
          <w:p w:rsidR="00A47FFE" w:rsidRPr="007C2C09" w:rsidRDefault="00A47FFE" w:rsidP="007C2C09">
            <w:pPr>
              <w:rPr>
                <w:rFonts w:ascii="Times New Roman" w:eastAsia="Calibri" w:hAnsi="Times New Roman" w:cs="Times New Roman"/>
                <w:sz w:val="20"/>
                <w:szCs w:val="20"/>
              </w:rPr>
            </w:pPr>
          </w:p>
        </w:tc>
        <w:tc>
          <w:tcPr>
            <w:tcW w:w="709" w:type="dxa"/>
            <w:vAlign w:val="center"/>
          </w:tcPr>
          <w:p w:rsidR="00A47FFE" w:rsidRPr="007C2C09" w:rsidRDefault="00D141F0"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2</w:t>
            </w:r>
          </w:p>
        </w:tc>
        <w:tc>
          <w:tcPr>
            <w:tcW w:w="1083" w:type="dxa"/>
            <w:vAlign w:val="center"/>
          </w:tcPr>
          <w:p w:rsidR="00A47FFE" w:rsidRPr="007C2C09" w:rsidRDefault="00D141F0"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194000</w:t>
            </w:r>
          </w:p>
        </w:tc>
        <w:tc>
          <w:tcPr>
            <w:tcW w:w="1169" w:type="dxa"/>
            <w:vAlign w:val="bottom"/>
          </w:tcPr>
          <w:p w:rsidR="00A47FFE" w:rsidRPr="007C2C09" w:rsidRDefault="00E6489D"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388000</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D141F0" w:rsidP="00A70C3B">
            <w:pPr>
              <w:rPr>
                <w:rFonts w:ascii="Times New Roman" w:eastAsia="Calibri" w:hAnsi="Times New Roman" w:cs="Times New Roman"/>
                <w:sz w:val="16"/>
                <w:szCs w:val="16"/>
              </w:rPr>
            </w:pPr>
            <w:r w:rsidRPr="007C2C09">
              <w:rPr>
                <w:rFonts w:ascii="Times New Roman" w:hAnsi="Times New Roman" w:cs="Times New Roman"/>
                <w:sz w:val="16"/>
                <w:szCs w:val="16"/>
              </w:rPr>
              <w:t xml:space="preserve">Вкладыш </w:t>
            </w:r>
            <w:proofErr w:type="spellStart"/>
            <w:proofErr w:type="gramStart"/>
            <w:r w:rsidRPr="007C2C09">
              <w:rPr>
                <w:rFonts w:ascii="Times New Roman" w:hAnsi="Times New Roman" w:cs="Times New Roman"/>
                <w:sz w:val="16"/>
                <w:szCs w:val="16"/>
              </w:rPr>
              <w:t>Вкладыш</w:t>
            </w:r>
            <w:proofErr w:type="spellEnd"/>
            <w:proofErr w:type="gramEnd"/>
            <w:r w:rsidRPr="007C2C09">
              <w:rPr>
                <w:rFonts w:ascii="Times New Roman" w:hAnsi="Times New Roman" w:cs="Times New Roman"/>
                <w:sz w:val="16"/>
                <w:szCs w:val="16"/>
              </w:rPr>
              <w:t>: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c>
          <w:tcPr>
            <w:tcW w:w="709" w:type="dxa"/>
          </w:tcPr>
          <w:p w:rsidR="00A47FFE" w:rsidRPr="007C2C09" w:rsidRDefault="00D141F0" w:rsidP="007C2C09">
            <w:pPr>
              <w:rPr>
                <w:rFonts w:ascii="Times New Roman" w:eastAsia="Calibri" w:hAnsi="Times New Roman" w:cs="Times New Roman"/>
                <w:sz w:val="20"/>
                <w:szCs w:val="20"/>
              </w:rPr>
            </w:pPr>
            <w:proofErr w:type="spellStart"/>
            <w:r w:rsidRPr="007C2C09">
              <w:rPr>
                <w:rFonts w:ascii="Times New Roman" w:eastAsia="Calibri" w:hAnsi="Times New Roman" w:cs="Times New Roman"/>
                <w:sz w:val="20"/>
                <w:szCs w:val="20"/>
              </w:rPr>
              <w:t>уп</w:t>
            </w:r>
            <w:proofErr w:type="spellEnd"/>
          </w:p>
        </w:tc>
        <w:tc>
          <w:tcPr>
            <w:tcW w:w="709" w:type="dxa"/>
            <w:vAlign w:val="center"/>
          </w:tcPr>
          <w:p w:rsidR="00A47FFE" w:rsidRPr="007C2C09" w:rsidRDefault="00D141F0"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2</w:t>
            </w:r>
          </w:p>
        </w:tc>
        <w:tc>
          <w:tcPr>
            <w:tcW w:w="1083" w:type="dxa"/>
            <w:vAlign w:val="center"/>
          </w:tcPr>
          <w:p w:rsidR="00A47FFE" w:rsidRPr="007C2C09" w:rsidRDefault="00D141F0"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75350</w:t>
            </w:r>
          </w:p>
        </w:tc>
        <w:tc>
          <w:tcPr>
            <w:tcW w:w="1169" w:type="dxa"/>
            <w:vAlign w:val="bottom"/>
          </w:tcPr>
          <w:p w:rsidR="00A47FFE" w:rsidRPr="007C2C09" w:rsidRDefault="00E6489D"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150700</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E45783" w:rsidP="00E45783">
            <w:pPr>
              <w:rPr>
                <w:rFonts w:ascii="Times New Roman" w:eastAsia="Calibri" w:hAnsi="Times New Roman" w:cs="Times New Roman"/>
                <w:sz w:val="16"/>
                <w:szCs w:val="16"/>
              </w:rPr>
            </w:pPr>
            <w:proofErr w:type="gramStart"/>
            <w:r w:rsidRPr="007C2C09">
              <w:rPr>
                <w:rFonts w:ascii="Times New Roman" w:hAnsi="Times New Roman" w:cs="Times New Roman"/>
                <w:sz w:val="16"/>
                <w:szCs w:val="16"/>
              </w:rPr>
              <w:t xml:space="preserve">Компоненты </w:t>
            </w:r>
            <w:proofErr w:type="spellStart"/>
            <w:r w:rsidRPr="007C2C09">
              <w:rPr>
                <w:rFonts w:ascii="Times New Roman" w:hAnsi="Times New Roman" w:cs="Times New Roman"/>
                <w:sz w:val="16"/>
                <w:szCs w:val="16"/>
              </w:rPr>
              <w:t>феморальные</w:t>
            </w:r>
            <w:proofErr w:type="spellEnd"/>
            <w:r w:rsidRPr="007C2C09">
              <w:rPr>
                <w:rFonts w:ascii="Times New Roman" w:hAnsi="Times New Roman" w:cs="Times New Roman"/>
                <w:sz w:val="16"/>
                <w:szCs w:val="16"/>
              </w:rPr>
              <w:t xml:space="preserve"> с сохранением или замещением ЗКС  Бедренный компонент правый и левый, материал – </w:t>
            </w:r>
            <w:proofErr w:type="spellStart"/>
            <w:r w:rsidRPr="007C2C09">
              <w:rPr>
                <w:rFonts w:ascii="Times New Roman" w:hAnsi="Times New Roman" w:cs="Times New Roman"/>
                <w:sz w:val="16"/>
                <w:szCs w:val="16"/>
              </w:rPr>
              <w:t>кобальтхромовый</w:t>
            </w:r>
            <w:proofErr w:type="spellEnd"/>
            <w:r w:rsidRPr="007C2C09">
              <w:rPr>
                <w:rFonts w:ascii="Times New Roman" w:hAnsi="Times New Roman" w:cs="Times New Roman"/>
                <w:sz w:val="16"/>
                <w:szCs w:val="16"/>
              </w:rPr>
              <w:t xml:space="preserve"> сплав, удлиненная передняя поверхность, не допускающая соскальзывания надколенника при полном разгибании, В сагиттальной плоскости 3 тангенциальных радиуса в </w:t>
            </w:r>
            <w:proofErr w:type="spellStart"/>
            <w:r w:rsidRPr="007C2C09">
              <w:rPr>
                <w:rFonts w:ascii="Times New Roman" w:hAnsi="Times New Roman" w:cs="Times New Roman"/>
                <w:sz w:val="16"/>
                <w:szCs w:val="16"/>
              </w:rPr>
              <w:t>диапозоне</w:t>
            </w:r>
            <w:proofErr w:type="spellEnd"/>
            <w:r w:rsidRPr="007C2C09">
              <w:rPr>
                <w:rFonts w:ascii="Times New Roman" w:hAnsi="Times New Roman" w:cs="Times New Roman"/>
                <w:sz w:val="16"/>
                <w:szCs w:val="16"/>
              </w:rPr>
              <w:t xml:space="preserve"> от 0 градусов до 125 градусов сгибания, 7 стандартных размеров: переднезадние размеры от 57 до 74 и более мм, наружновнутренний от 53 до 78 и более мм</w:t>
            </w:r>
            <w:proofErr w:type="gramEnd"/>
            <w:r w:rsidRPr="007C2C09">
              <w:rPr>
                <w:rFonts w:ascii="Times New Roman" w:hAnsi="Times New Roman" w:cs="Times New Roman"/>
                <w:sz w:val="16"/>
                <w:szCs w:val="16"/>
              </w:rPr>
              <w:t xml:space="preserve">, толщина переднего фланца – не более 8 мм, толщина заднего фланца не более 8 мм, дистальная часть не более 9 мм (10 мм для больших размеров) установка не должна требовать дополнительной костной резекции для формирования борозды под надколенник. Компонент для замещения ЗКС имеет короб с кулачком для заднего стабилизатора высотой не более 15 мм и шириной не более 18.0 мм, для исключения излишней резекции дистального конца бедренной кости. Короб по размерам должен быть одинаков для всех размеров для свободного перекрестного сочетания компонентов разных размеров. Короб должен иметь отверстие для фиксации интрамедуллярной ножки. Задний и дистальный фланцы должны иметь карманы для фиксации вставок. </w:t>
            </w:r>
            <w:proofErr w:type="spellStart"/>
            <w:r w:rsidRPr="007C2C09">
              <w:rPr>
                <w:rFonts w:ascii="Times New Roman" w:hAnsi="Times New Roman" w:cs="Times New Roman"/>
                <w:sz w:val="16"/>
                <w:szCs w:val="16"/>
              </w:rPr>
              <w:t>Межмыщелковая</w:t>
            </w:r>
            <w:proofErr w:type="spellEnd"/>
            <w:r w:rsidRPr="007C2C09">
              <w:rPr>
                <w:rFonts w:ascii="Times New Roman" w:hAnsi="Times New Roman" w:cs="Times New Roman"/>
                <w:sz w:val="16"/>
                <w:szCs w:val="16"/>
              </w:rPr>
              <w:t xml:space="preserve"> борозда с единым радиусом, что исключает точечный контакт надколенника с бедренным компонентом даже при наклоне надколенника. Мыщелки во фронтальной плоскости слегка закруглены с единым радиусом для исключения точечной нагрузки на полиэтиленовый вкладыш при </w:t>
            </w:r>
            <w:proofErr w:type="spellStart"/>
            <w:r w:rsidRPr="007C2C09">
              <w:rPr>
                <w:rFonts w:ascii="Times New Roman" w:hAnsi="Times New Roman" w:cs="Times New Roman"/>
                <w:sz w:val="16"/>
                <w:szCs w:val="16"/>
              </w:rPr>
              <w:t>варусном</w:t>
            </w:r>
            <w:proofErr w:type="spellEnd"/>
            <w:r w:rsidRPr="007C2C09">
              <w:rPr>
                <w:rFonts w:ascii="Times New Roman" w:hAnsi="Times New Roman" w:cs="Times New Roman"/>
                <w:sz w:val="16"/>
                <w:szCs w:val="16"/>
              </w:rPr>
              <w:t>/</w:t>
            </w:r>
            <w:proofErr w:type="spellStart"/>
            <w:r w:rsidRPr="007C2C09">
              <w:rPr>
                <w:rFonts w:ascii="Times New Roman" w:hAnsi="Times New Roman" w:cs="Times New Roman"/>
                <w:sz w:val="16"/>
                <w:szCs w:val="16"/>
              </w:rPr>
              <w:t>вальгусном</w:t>
            </w:r>
            <w:proofErr w:type="spellEnd"/>
            <w:r w:rsidRPr="007C2C09">
              <w:rPr>
                <w:rFonts w:ascii="Times New Roman" w:hAnsi="Times New Roman" w:cs="Times New Roman"/>
                <w:sz w:val="16"/>
                <w:szCs w:val="16"/>
              </w:rPr>
              <w:t xml:space="preserve"> отклонении голени при движениях</w:t>
            </w:r>
          </w:p>
        </w:tc>
        <w:tc>
          <w:tcPr>
            <w:tcW w:w="709" w:type="dxa"/>
          </w:tcPr>
          <w:p w:rsidR="00A47FFE" w:rsidRPr="007C2C09" w:rsidRDefault="00E45783" w:rsidP="007C2C09">
            <w:pPr>
              <w:rPr>
                <w:rFonts w:ascii="Times New Roman" w:eastAsia="Calibri" w:hAnsi="Times New Roman" w:cs="Times New Roman"/>
                <w:sz w:val="20"/>
                <w:szCs w:val="20"/>
              </w:rPr>
            </w:pPr>
            <w:proofErr w:type="spellStart"/>
            <w:r w:rsidRPr="007C2C09">
              <w:rPr>
                <w:rFonts w:ascii="Times New Roman" w:eastAsia="Calibri" w:hAnsi="Times New Roman" w:cs="Times New Roman"/>
                <w:sz w:val="20"/>
                <w:szCs w:val="20"/>
              </w:rPr>
              <w:t>уп</w:t>
            </w:r>
            <w:proofErr w:type="spellEnd"/>
          </w:p>
        </w:tc>
        <w:tc>
          <w:tcPr>
            <w:tcW w:w="709" w:type="dxa"/>
            <w:vAlign w:val="center"/>
          </w:tcPr>
          <w:p w:rsidR="00A47FFE" w:rsidRPr="007C2C09" w:rsidRDefault="00E45783"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1</w:t>
            </w:r>
          </w:p>
        </w:tc>
        <w:tc>
          <w:tcPr>
            <w:tcW w:w="1083" w:type="dxa"/>
            <w:vAlign w:val="center"/>
          </w:tcPr>
          <w:p w:rsidR="00A47FFE" w:rsidRPr="007C2C09" w:rsidRDefault="00E45783"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324510</w:t>
            </w:r>
          </w:p>
        </w:tc>
        <w:tc>
          <w:tcPr>
            <w:tcW w:w="1169" w:type="dxa"/>
            <w:vAlign w:val="bottom"/>
          </w:tcPr>
          <w:p w:rsidR="00A47FFE" w:rsidRPr="007C2C09" w:rsidRDefault="00E6489D"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324510</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E45783" w:rsidP="00A70C3B">
            <w:pPr>
              <w:rPr>
                <w:rFonts w:ascii="Times New Roman" w:eastAsia="Calibri" w:hAnsi="Times New Roman" w:cs="Times New Roman"/>
                <w:sz w:val="16"/>
                <w:szCs w:val="16"/>
              </w:rPr>
            </w:pPr>
            <w:r w:rsidRPr="007C2C09">
              <w:rPr>
                <w:rFonts w:ascii="Times New Roman" w:hAnsi="Times New Roman" w:cs="Times New Roman"/>
                <w:sz w:val="16"/>
                <w:szCs w:val="16"/>
              </w:rPr>
              <w:t xml:space="preserve">Компоненты </w:t>
            </w:r>
            <w:proofErr w:type="spellStart"/>
            <w:r w:rsidRPr="007C2C09">
              <w:rPr>
                <w:rFonts w:ascii="Times New Roman" w:hAnsi="Times New Roman" w:cs="Times New Roman"/>
                <w:sz w:val="16"/>
                <w:szCs w:val="16"/>
              </w:rPr>
              <w:t>тибиальные</w:t>
            </w:r>
            <w:proofErr w:type="spellEnd"/>
            <w:r w:rsidRPr="007C2C09">
              <w:rPr>
                <w:rFonts w:ascii="Times New Roman" w:hAnsi="Times New Roman" w:cs="Times New Roman"/>
                <w:sz w:val="16"/>
                <w:szCs w:val="16"/>
              </w:rPr>
              <w:t xml:space="preserve"> </w:t>
            </w:r>
            <w:r w:rsidR="007C2C09" w:rsidRPr="007C2C09">
              <w:rPr>
                <w:rFonts w:ascii="Times New Roman" w:hAnsi="Times New Roman" w:cs="Times New Roman"/>
                <w:sz w:val="16"/>
                <w:szCs w:val="16"/>
              </w:rPr>
              <w:t xml:space="preserve"> Большеберцовый компонент материал изготовления: </w:t>
            </w:r>
            <w:proofErr w:type="spellStart"/>
            <w:r w:rsidR="007C2C09" w:rsidRPr="007C2C09">
              <w:rPr>
                <w:rFonts w:ascii="Times New Roman" w:hAnsi="Times New Roman" w:cs="Times New Roman"/>
                <w:sz w:val="16"/>
                <w:szCs w:val="16"/>
              </w:rPr>
              <w:t>кобальтхромовый</w:t>
            </w:r>
            <w:proofErr w:type="spellEnd"/>
            <w:r w:rsidR="007C2C09" w:rsidRPr="007C2C09">
              <w:rPr>
                <w:rFonts w:ascii="Times New Roman" w:hAnsi="Times New Roman" w:cs="Times New Roman"/>
                <w:sz w:val="16"/>
                <w:szCs w:val="16"/>
              </w:rPr>
              <w:t xml:space="preserve"> сплав или кованый </w:t>
            </w:r>
            <w:proofErr w:type="spellStart"/>
            <w:r w:rsidR="007C2C09" w:rsidRPr="007C2C09">
              <w:rPr>
                <w:rFonts w:ascii="Times New Roman" w:hAnsi="Times New Roman" w:cs="Times New Roman"/>
                <w:sz w:val="16"/>
                <w:szCs w:val="16"/>
              </w:rPr>
              <w:t>титан-алюминий-ванадиевый</w:t>
            </w:r>
            <w:proofErr w:type="spellEnd"/>
            <w:r w:rsidR="007C2C09" w:rsidRPr="007C2C09">
              <w:rPr>
                <w:rFonts w:ascii="Times New Roman" w:hAnsi="Times New Roman" w:cs="Times New Roman"/>
                <w:sz w:val="16"/>
                <w:szCs w:val="16"/>
              </w:rPr>
              <w:t xml:space="preserve"> сплав. Имеет </w:t>
            </w:r>
            <w:proofErr w:type="spellStart"/>
            <w:r w:rsidR="007C2C09" w:rsidRPr="007C2C09">
              <w:rPr>
                <w:rFonts w:ascii="Times New Roman" w:hAnsi="Times New Roman" w:cs="Times New Roman"/>
                <w:sz w:val="16"/>
                <w:szCs w:val="16"/>
              </w:rPr>
              <w:t>килевидной</w:t>
            </w:r>
            <w:proofErr w:type="spellEnd"/>
            <w:r w:rsidR="007C2C09" w:rsidRPr="007C2C09">
              <w:rPr>
                <w:rFonts w:ascii="Times New Roman" w:hAnsi="Times New Roman" w:cs="Times New Roman"/>
                <w:sz w:val="16"/>
                <w:szCs w:val="16"/>
              </w:rPr>
              <w:t xml:space="preserve"> формы ножку, верхняя поверхность основания с бортиком по всему периметру для фиксации </w:t>
            </w:r>
            <w:proofErr w:type="spellStart"/>
            <w:r w:rsidR="007C2C09" w:rsidRPr="007C2C09">
              <w:rPr>
                <w:rFonts w:ascii="Times New Roman" w:hAnsi="Times New Roman" w:cs="Times New Roman"/>
                <w:sz w:val="16"/>
                <w:szCs w:val="16"/>
              </w:rPr>
              <w:t>тибиального</w:t>
            </w:r>
            <w:proofErr w:type="spellEnd"/>
            <w:r w:rsidR="007C2C09" w:rsidRPr="007C2C09">
              <w:rPr>
                <w:rFonts w:ascii="Times New Roman" w:hAnsi="Times New Roman" w:cs="Times New Roman"/>
                <w:sz w:val="16"/>
                <w:szCs w:val="16"/>
              </w:rPr>
              <w:t xml:space="preserve"> вкладыша (фиксированная платформа) или без бортика с конусовидным углублением для ротационного вкладыша (мобильная платформа). Не менее 7 типоразмеров в стандартной линейке.</w:t>
            </w:r>
          </w:p>
        </w:tc>
        <w:tc>
          <w:tcPr>
            <w:tcW w:w="709" w:type="dxa"/>
          </w:tcPr>
          <w:p w:rsidR="00A47FFE" w:rsidRPr="007C2C09" w:rsidRDefault="00A47FFE" w:rsidP="007C2C09">
            <w:pPr>
              <w:rPr>
                <w:rFonts w:ascii="Times New Roman" w:eastAsia="Calibri" w:hAnsi="Times New Roman" w:cs="Times New Roman"/>
                <w:sz w:val="20"/>
                <w:szCs w:val="20"/>
              </w:rPr>
            </w:pPr>
          </w:p>
        </w:tc>
        <w:tc>
          <w:tcPr>
            <w:tcW w:w="709" w:type="dxa"/>
            <w:vAlign w:val="center"/>
          </w:tcPr>
          <w:p w:rsidR="00A47FFE" w:rsidRPr="007C2C09" w:rsidRDefault="007C2C09"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1</w:t>
            </w:r>
          </w:p>
        </w:tc>
        <w:tc>
          <w:tcPr>
            <w:tcW w:w="1083" w:type="dxa"/>
            <w:vAlign w:val="center"/>
          </w:tcPr>
          <w:p w:rsidR="00A47FFE" w:rsidRPr="007C2C09" w:rsidRDefault="007C2C09" w:rsidP="007C2C09">
            <w:pPr>
              <w:rPr>
                <w:rFonts w:ascii="Times New Roman" w:eastAsia="Calibri" w:hAnsi="Times New Roman" w:cs="Times New Roman"/>
                <w:color w:val="000000"/>
                <w:sz w:val="20"/>
                <w:szCs w:val="20"/>
              </w:rPr>
            </w:pPr>
            <w:r w:rsidRPr="007C2C09">
              <w:rPr>
                <w:rFonts w:ascii="Times New Roman" w:hAnsi="Times New Roman" w:cs="Times New Roman"/>
              </w:rPr>
              <w:t>195 655</w:t>
            </w:r>
          </w:p>
        </w:tc>
        <w:tc>
          <w:tcPr>
            <w:tcW w:w="1169" w:type="dxa"/>
            <w:vAlign w:val="bottom"/>
          </w:tcPr>
          <w:p w:rsidR="00A47FFE" w:rsidRPr="007C2C09" w:rsidRDefault="00E6489D"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195655</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r w:rsidR="00A47FFE" w:rsidRPr="00A47FFE" w:rsidTr="007C2C09">
        <w:tc>
          <w:tcPr>
            <w:tcW w:w="425" w:type="dxa"/>
            <w:shd w:val="clear" w:color="auto" w:fill="auto"/>
            <w:vAlign w:val="center"/>
          </w:tcPr>
          <w:p w:rsidR="00A47FFE" w:rsidRPr="00A47FFE" w:rsidRDefault="00A47FFE" w:rsidP="008A464A">
            <w:pPr>
              <w:numPr>
                <w:ilvl w:val="0"/>
                <w:numId w:val="1"/>
              </w:numPr>
              <w:spacing w:before="240"/>
              <w:ind w:hanging="671"/>
              <w:rPr>
                <w:rFonts w:ascii="Times New Roman" w:hAnsi="Times New Roman" w:cs="Times New Roman"/>
                <w:shadow/>
                <w:color w:val="000000"/>
                <w:sz w:val="20"/>
                <w:szCs w:val="20"/>
              </w:rPr>
            </w:pPr>
          </w:p>
        </w:tc>
        <w:tc>
          <w:tcPr>
            <w:tcW w:w="5529" w:type="dxa"/>
            <w:vAlign w:val="bottom"/>
          </w:tcPr>
          <w:p w:rsidR="00A47FFE" w:rsidRPr="007C2C09" w:rsidRDefault="007C2C09" w:rsidP="007C2C09">
            <w:pPr>
              <w:rPr>
                <w:rFonts w:ascii="Times New Roman" w:eastAsia="Calibri" w:hAnsi="Times New Roman" w:cs="Times New Roman"/>
                <w:sz w:val="16"/>
                <w:szCs w:val="16"/>
              </w:rPr>
            </w:pPr>
            <w:r w:rsidRPr="007C2C09">
              <w:rPr>
                <w:rFonts w:ascii="Times New Roman" w:hAnsi="Times New Roman" w:cs="Times New Roman"/>
                <w:sz w:val="16"/>
                <w:szCs w:val="16"/>
              </w:rPr>
              <w:t xml:space="preserve">Вкладыши с сохранением или с замещением ЗКС Большеберцовый вкладыш Универсальные (для левой и правой голени) полиэтиленовые вкладыши для сохранения и замещения ЗКС (с задним стабилизатором). Ширина заднего стабилизатора одинакова во всех вкладышах и не превышает 16.3 мм, для исключения избыточной торсионной нагрузки на задний стабилизатор. Толщина фиксированного вкладыша от 8 мм до 25 мм с шагом 2 -2,5 мм. Вкладыш мобильной платформы имеет конус и толщину от 10 мм до 20 мм. Выполнен из </w:t>
            </w:r>
            <w:proofErr w:type="spellStart"/>
            <w:r w:rsidRPr="007C2C09">
              <w:rPr>
                <w:rFonts w:ascii="Times New Roman" w:hAnsi="Times New Roman" w:cs="Times New Roman"/>
                <w:sz w:val="16"/>
                <w:szCs w:val="16"/>
              </w:rPr>
              <w:t>кросслинкованного</w:t>
            </w:r>
            <w:proofErr w:type="spellEnd"/>
            <w:r w:rsidRPr="007C2C09">
              <w:rPr>
                <w:rFonts w:ascii="Times New Roman" w:hAnsi="Times New Roman" w:cs="Times New Roman"/>
                <w:sz w:val="16"/>
                <w:szCs w:val="16"/>
              </w:rPr>
              <w:t xml:space="preserve"> полиэтилена, который для увеличения плотности поперечных связей между молекулами полиэтилена и повышения износоустойчивости, подвергнут в процессе производства воздействию гамма излучением в дозе 6,5 мрад.</w:t>
            </w:r>
          </w:p>
        </w:tc>
        <w:tc>
          <w:tcPr>
            <w:tcW w:w="709" w:type="dxa"/>
          </w:tcPr>
          <w:p w:rsidR="00A47FFE" w:rsidRPr="007C2C09" w:rsidRDefault="00A47FFE" w:rsidP="007C2C09">
            <w:pPr>
              <w:rPr>
                <w:rFonts w:ascii="Times New Roman" w:eastAsia="Calibri" w:hAnsi="Times New Roman" w:cs="Times New Roman"/>
                <w:sz w:val="20"/>
                <w:szCs w:val="20"/>
              </w:rPr>
            </w:pPr>
          </w:p>
        </w:tc>
        <w:tc>
          <w:tcPr>
            <w:tcW w:w="709" w:type="dxa"/>
            <w:vAlign w:val="center"/>
          </w:tcPr>
          <w:p w:rsidR="00A47FFE" w:rsidRPr="007C2C09" w:rsidRDefault="007C2C09" w:rsidP="007C2C09">
            <w:pPr>
              <w:rPr>
                <w:rFonts w:ascii="Times New Roman" w:eastAsia="Calibri" w:hAnsi="Times New Roman" w:cs="Times New Roman"/>
                <w:color w:val="000000"/>
                <w:sz w:val="20"/>
                <w:szCs w:val="20"/>
              </w:rPr>
            </w:pPr>
            <w:r w:rsidRPr="007C2C09">
              <w:rPr>
                <w:rFonts w:ascii="Times New Roman" w:eastAsia="Calibri" w:hAnsi="Times New Roman" w:cs="Times New Roman"/>
                <w:color w:val="000000"/>
                <w:sz w:val="20"/>
                <w:szCs w:val="20"/>
              </w:rPr>
              <w:t>1</w:t>
            </w:r>
          </w:p>
        </w:tc>
        <w:tc>
          <w:tcPr>
            <w:tcW w:w="1083" w:type="dxa"/>
            <w:vAlign w:val="center"/>
          </w:tcPr>
          <w:p w:rsidR="00A47FFE" w:rsidRPr="007C2C09" w:rsidRDefault="007C2C09" w:rsidP="007C2C09">
            <w:pPr>
              <w:rPr>
                <w:rFonts w:ascii="Times New Roman" w:eastAsia="Calibri" w:hAnsi="Times New Roman" w:cs="Times New Roman"/>
                <w:color w:val="000000"/>
                <w:sz w:val="20"/>
                <w:szCs w:val="20"/>
              </w:rPr>
            </w:pPr>
            <w:r w:rsidRPr="007C2C09">
              <w:rPr>
                <w:rFonts w:ascii="Times New Roman" w:hAnsi="Times New Roman" w:cs="Times New Roman"/>
              </w:rPr>
              <w:t>112 933</w:t>
            </w:r>
          </w:p>
        </w:tc>
        <w:tc>
          <w:tcPr>
            <w:tcW w:w="1169" w:type="dxa"/>
            <w:vAlign w:val="bottom"/>
          </w:tcPr>
          <w:p w:rsidR="00A47FFE" w:rsidRPr="007C2C09" w:rsidRDefault="00E6489D" w:rsidP="007C2C0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112933</w:t>
            </w:r>
          </w:p>
        </w:tc>
        <w:tc>
          <w:tcPr>
            <w:tcW w:w="1433" w:type="dxa"/>
            <w:vAlign w:val="bottom"/>
          </w:tcPr>
          <w:p w:rsidR="00A47FFE" w:rsidRPr="007C2C09" w:rsidRDefault="00A47FFE" w:rsidP="007C2C09">
            <w:pPr>
              <w:rPr>
                <w:rFonts w:ascii="Times New Roman" w:hAnsi="Times New Roman" w:cs="Times New Roman"/>
                <w:color w:val="000000"/>
                <w:sz w:val="20"/>
                <w:szCs w:val="20"/>
                <w:lang w:val="kk-KZ"/>
              </w:rPr>
            </w:pPr>
            <w:r w:rsidRPr="007C2C09">
              <w:rPr>
                <w:rFonts w:ascii="Times New Roman" w:hAnsi="Times New Roman" w:cs="Times New Roman"/>
                <w:color w:val="000000"/>
                <w:sz w:val="20"/>
                <w:szCs w:val="20"/>
              </w:rPr>
              <w:t>г. Текели ул. Т</w:t>
            </w:r>
            <w:r w:rsidRPr="007C2C09">
              <w:rPr>
                <w:rFonts w:ascii="Times New Roman" w:hAnsi="Times New Roman" w:cs="Times New Roman"/>
                <w:color w:val="000000"/>
                <w:sz w:val="20"/>
                <w:szCs w:val="20"/>
                <w:lang w:val="kk-KZ"/>
              </w:rPr>
              <w:t>әуелсіздік 25</w:t>
            </w:r>
          </w:p>
        </w:tc>
      </w:tr>
    </w:tbl>
    <w:p w:rsidR="00076F6A" w:rsidRPr="008A464A" w:rsidRDefault="00076F6A" w:rsidP="00C05D88">
      <w:pPr>
        <w:pStyle w:val="pj"/>
        <w:ind w:firstLine="0"/>
        <w:rPr>
          <w:sz w:val="20"/>
          <w:szCs w:val="20"/>
          <w:lang w:val="kk-KZ"/>
        </w:rPr>
      </w:pPr>
    </w:p>
    <w:p w:rsidR="0035359B" w:rsidRPr="008A464A" w:rsidRDefault="0096364E" w:rsidP="00C05D88">
      <w:pPr>
        <w:pStyle w:val="pj"/>
        <w:ind w:firstLine="0"/>
        <w:rPr>
          <w:sz w:val="20"/>
          <w:szCs w:val="20"/>
        </w:rPr>
      </w:pPr>
      <w:r w:rsidRPr="008A464A">
        <w:rPr>
          <w:sz w:val="20"/>
          <w:szCs w:val="20"/>
        </w:rPr>
        <w:t>Сроки и условия поставки</w:t>
      </w:r>
      <w:r w:rsidR="0035359B" w:rsidRPr="008A464A">
        <w:rPr>
          <w:sz w:val="20"/>
          <w:szCs w:val="20"/>
        </w:rPr>
        <w:t xml:space="preserve"> </w:t>
      </w:r>
      <w:r w:rsidR="0035359B" w:rsidRPr="008A464A">
        <w:rPr>
          <w:b/>
          <w:sz w:val="20"/>
          <w:szCs w:val="20"/>
          <w:lang w:val="kk-KZ"/>
        </w:rPr>
        <w:t>в течени</w:t>
      </w:r>
      <w:proofErr w:type="gramStart"/>
      <w:r w:rsidR="0035359B" w:rsidRPr="008A464A">
        <w:rPr>
          <w:b/>
          <w:sz w:val="20"/>
          <w:szCs w:val="20"/>
          <w:lang w:val="kk-KZ"/>
        </w:rPr>
        <w:t>и</w:t>
      </w:r>
      <w:proofErr w:type="gramEnd"/>
      <w:r w:rsidR="0035359B" w:rsidRPr="008A464A">
        <w:rPr>
          <w:b/>
          <w:sz w:val="20"/>
          <w:szCs w:val="20"/>
          <w:lang w:val="kk-KZ"/>
        </w:rPr>
        <w:t xml:space="preserve"> 15 календарных дней по заявке заказчика </w:t>
      </w:r>
      <w:r w:rsidRPr="008A464A">
        <w:rPr>
          <w:sz w:val="20"/>
          <w:szCs w:val="20"/>
        </w:rPr>
        <w:t xml:space="preserve">Место представления (приема) документов </w:t>
      </w:r>
      <w:r w:rsidR="0035359B" w:rsidRPr="008A464A">
        <w:rPr>
          <w:sz w:val="20"/>
          <w:szCs w:val="20"/>
        </w:rPr>
        <w:t>ГКП на ПХВ «</w:t>
      </w:r>
      <w:proofErr w:type="spellStart"/>
      <w:r w:rsidR="0035359B" w:rsidRPr="008A464A">
        <w:rPr>
          <w:sz w:val="20"/>
          <w:szCs w:val="20"/>
        </w:rPr>
        <w:t>Текелийская</w:t>
      </w:r>
      <w:proofErr w:type="spellEnd"/>
      <w:r w:rsidR="0035359B" w:rsidRPr="008A464A">
        <w:rPr>
          <w:sz w:val="20"/>
          <w:szCs w:val="20"/>
        </w:rPr>
        <w:t xml:space="preserve"> городская больница» ГУ «Управление здравоохранения области</w:t>
      </w:r>
      <w:r w:rsidR="00F247D9">
        <w:rPr>
          <w:sz w:val="20"/>
          <w:szCs w:val="20"/>
          <w:lang w:val="kk-KZ"/>
        </w:rPr>
        <w:t xml:space="preserve"> Жетісу</w:t>
      </w:r>
      <w:r w:rsidR="0035359B" w:rsidRPr="008A464A">
        <w:rPr>
          <w:sz w:val="20"/>
          <w:szCs w:val="20"/>
        </w:rPr>
        <w:t>», Республика Казахстан, область</w:t>
      </w:r>
      <w:r w:rsidR="00F247D9">
        <w:rPr>
          <w:sz w:val="20"/>
          <w:szCs w:val="20"/>
          <w:lang w:val="kk-KZ"/>
        </w:rPr>
        <w:t xml:space="preserve"> Жетісу</w:t>
      </w:r>
      <w:r w:rsidR="0035359B" w:rsidRPr="008A464A">
        <w:rPr>
          <w:sz w:val="20"/>
          <w:szCs w:val="20"/>
        </w:rPr>
        <w:t xml:space="preserve">, г. Текели ул. </w:t>
      </w:r>
      <w:proofErr w:type="spellStart"/>
      <w:r w:rsidR="0035359B" w:rsidRPr="008A464A">
        <w:rPr>
          <w:sz w:val="20"/>
          <w:szCs w:val="20"/>
        </w:rPr>
        <w:t>Тауелсыздык</w:t>
      </w:r>
      <w:proofErr w:type="spellEnd"/>
      <w:r w:rsidR="0035359B" w:rsidRPr="008A464A">
        <w:rPr>
          <w:sz w:val="20"/>
          <w:szCs w:val="20"/>
        </w:rPr>
        <w:t xml:space="preserve"> 25- администрация – бухгалтерия окончательный срок подачи ценовых предложений–</w:t>
      </w:r>
      <w:r w:rsidR="00E6489D">
        <w:rPr>
          <w:sz w:val="20"/>
          <w:szCs w:val="20"/>
          <w:lang w:val="kk-KZ"/>
        </w:rPr>
        <w:t>11</w:t>
      </w:r>
      <w:r w:rsidR="001E5EE9">
        <w:rPr>
          <w:b/>
          <w:sz w:val="20"/>
          <w:szCs w:val="20"/>
          <w:lang w:val="kk-KZ"/>
        </w:rPr>
        <w:t>.09</w:t>
      </w:r>
      <w:r w:rsidR="0035359B" w:rsidRPr="008A464A">
        <w:rPr>
          <w:b/>
          <w:sz w:val="20"/>
          <w:szCs w:val="20"/>
        </w:rPr>
        <w:t>.2023 г. 10</w:t>
      </w:r>
      <w:r w:rsidR="0035359B" w:rsidRPr="008A464A">
        <w:rPr>
          <w:b/>
          <w:sz w:val="20"/>
          <w:szCs w:val="20"/>
          <w:lang w:val="kk-KZ"/>
        </w:rPr>
        <w:t xml:space="preserve"> </w:t>
      </w:r>
      <w:r w:rsidR="0035359B" w:rsidRPr="008A464A">
        <w:rPr>
          <w:sz w:val="20"/>
          <w:szCs w:val="20"/>
        </w:rPr>
        <w:t xml:space="preserve">часов  00 минут. </w:t>
      </w:r>
    </w:p>
    <w:p w:rsidR="00844C2A" w:rsidRPr="008A464A" w:rsidRDefault="0035359B" w:rsidP="00076F6A">
      <w:pPr>
        <w:pStyle w:val="pj"/>
        <w:rPr>
          <w:sz w:val="20"/>
          <w:szCs w:val="20"/>
        </w:rPr>
      </w:pPr>
      <w:r w:rsidRPr="008A464A">
        <w:rPr>
          <w:sz w:val="20"/>
          <w:szCs w:val="20"/>
        </w:rPr>
        <w:t>Дата и время рассмотрения ценовых предложений-</w:t>
      </w:r>
      <w:r w:rsidR="00E6489D">
        <w:rPr>
          <w:sz w:val="20"/>
          <w:szCs w:val="20"/>
          <w:lang w:val="kk-KZ"/>
        </w:rPr>
        <w:t>11</w:t>
      </w:r>
      <w:r w:rsidR="00076F6A" w:rsidRPr="008A464A">
        <w:rPr>
          <w:sz w:val="20"/>
          <w:szCs w:val="20"/>
        </w:rPr>
        <w:t>.0</w:t>
      </w:r>
      <w:r w:rsidR="001E5EE9">
        <w:rPr>
          <w:sz w:val="20"/>
          <w:szCs w:val="20"/>
          <w:lang w:val="kk-KZ"/>
        </w:rPr>
        <w:t>9</w:t>
      </w:r>
      <w:r w:rsidRPr="008A464A">
        <w:rPr>
          <w:sz w:val="20"/>
          <w:szCs w:val="20"/>
        </w:rPr>
        <w:t>.</w:t>
      </w:r>
      <w:r w:rsidRPr="008A464A">
        <w:rPr>
          <w:b/>
          <w:sz w:val="20"/>
          <w:szCs w:val="20"/>
        </w:rPr>
        <w:t>2023</w:t>
      </w:r>
      <w:r w:rsidRPr="008A464A">
        <w:rPr>
          <w:sz w:val="20"/>
          <w:szCs w:val="20"/>
        </w:rPr>
        <w:t xml:space="preserve"> год в 1</w:t>
      </w:r>
      <w:r w:rsidRPr="008A464A">
        <w:rPr>
          <w:sz w:val="20"/>
          <w:szCs w:val="20"/>
          <w:lang w:val="kk-KZ"/>
        </w:rPr>
        <w:t>0</w:t>
      </w:r>
      <w:r w:rsidRPr="008A464A">
        <w:rPr>
          <w:sz w:val="20"/>
          <w:szCs w:val="20"/>
        </w:rPr>
        <w:t xml:space="preserve"> часов 10 минут </w:t>
      </w:r>
    </w:p>
    <w:sectPr w:rsidR="00844C2A" w:rsidRPr="008A464A" w:rsidSect="00076F6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05DC"/>
    <w:multiLevelType w:val="hybridMultilevel"/>
    <w:tmpl w:val="08FAC6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96364E"/>
    <w:rsid w:val="00076F6A"/>
    <w:rsid w:val="00080155"/>
    <w:rsid w:val="000A4E9F"/>
    <w:rsid w:val="000E16AB"/>
    <w:rsid w:val="000E579B"/>
    <w:rsid w:val="001E5EE9"/>
    <w:rsid w:val="00214161"/>
    <w:rsid w:val="00274D19"/>
    <w:rsid w:val="002B6249"/>
    <w:rsid w:val="0035359B"/>
    <w:rsid w:val="004041BB"/>
    <w:rsid w:val="004224F4"/>
    <w:rsid w:val="00437F2D"/>
    <w:rsid w:val="00586D04"/>
    <w:rsid w:val="0063539A"/>
    <w:rsid w:val="0066746D"/>
    <w:rsid w:val="007B73AD"/>
    <w:rsid w:val="007C2C09"/>
    <w:rsid w:val="00844C2A"/>
    <w:rsid w:val="00872E0F"/>
    <w:rsid w:val="008A464A"/>
    <w:rsid w:val="0096364E"/>
    <w:rsid w:val="00A47FFE"/>
    <w:rsid w:val="00AD15A3"/>
    <w:rsid w:val="00B67514"/>
    <w:rsid w:val="00BF1D80"/>
    <w:rsid w:val="00C05D88"/>
    <w:rsid w:val="00C64BC2"/>
    <w:rsid w:val="00D141F0"/>
    <w:rsid w:val="00DD407A"/>
    <w:rsid w:val="00E45783"/>
    <w:rsid w:val="00E572E7"/>
    <w:rsid w:val="00E6489D"/>
    <w:rsid w:val="00EA2BBE"/>
    <w:rsid w:val="00F247D9"/>
    <w:rsid w:val="00FA6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6364E"/>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r">
    <w:name w:val="pr"/>
    <w:basedOn w:val="a"/>
    <w:rsid w:val="0096364E"/>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96364E"/>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1">
    <w:name w:val="s1"/>
    <w:basedOn w:val="a0"/>
    <w:rsid w:val="0096364E"/>
    <w:rPr>
      <w:rFonts w:ascii="Times New Roman" w:hAnsi="Times New Roman" w:cs="Times New Roman" w:hint="default"/>
      <w:b/>
      <w:bCs/>
      <w:color w:val="000000"/>
    </w:rPr>
  </w:style>
  <w:style w:type="character" w:styleId="a3">
    <w:name w:val="Hyperlink"/>
    <w:basedOn w:val="a0"/>
    <w:uiPriority w:val="99"/>
    <w:semiHidden/>
    <w:unhideWhenUsed/>
    <w:rsid w:val="0096364E"/>
    <w:rPr>
      <w:color w:val="0000FF"/>
      <w:u w:val="single"/>
    </w:rPr>
  </w:style>
  <w:style w:type="table" w:styleId="a4">
    <w:name w:val="Table Grid"/>
    <w:basedOn w:val="a1"/>
    <w:uiPriority w:val="59"/>
    <w:rsid w:val="00963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05D88"/>
    <w:pPr>
      <w:spacing w:after="0" w:line="240" w:lineRule="auto"/>
    </w:pPr>
    <w:rPr>
      <w:rFonts w:ascii="Times New Roman" w:eastAsia="Times New Roman" w:hAnsi="Times New Roman" w:cs="Times New Roman"/>
      <w:shadow/>
      <w:sz w:val="20"/>
      <w:szCs w:val="600"/>
      <w:lang w:eastAsia="ru-RU"/>
    </w:rPr>
  </w:style>
  <w:style w:type="character" w:customStyle="1" w:styleId="a6">
    <w:name w:val="Без интервала Знак"/>
    <w:link w:val="a5"/>
    <w:uiPriority w:val="1"/>
    <w:locked/>
    <w:rsid w:val="00C05D88"/>
    <w:rPr>
      <w:rFonts w:ascii="Times New Roman" w:eastAsia="Times New Roman" w:hAnsi="Times New Roman" w:cs="Times New Roman"/>
      <w:shadow/>
      <w:sz w:val="20"/>
      <w:szCs w:val="6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2023-06-27T05:18:00Z</dcterms:created>
  <dcterms:modified xsi:type="dcterms:W3CDTF">2023-09-04T08:35:00Z</dcterms:modified>
</cp:coreProperties>
</file>